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3450" w:rsidRPr="00220E2F" w:rsidRDefault="00863450" w:rsidP="00863450">
      <w:pPr>
        <w:pStyle w:val="a3"/>
        <w:widowControl w:val="0"/>
        <w:rPr>
          <w:spacing w:val="10"/>
          <w:szCs w:val="28"/>
        </w:rPr>
      </w:pPr>
      <w:r w:rsidRPr="00220E2F">
        <w:rPr>
          <w:noProof/>
          <w:spacing w:val="10"/>
          <w:szCs w:val="28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50" w:rsidRPr="00220E2F" w:rsidRDefault="00863450" w:rsidP="00863450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863450" w:rsidRPr="00220E2F" w:rsidRDefault="00863450" w:rsidP="00863450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20E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ВІЙСЬКОВА АДМІНІСТРАЦІЯ</w:t>
      </w:r>
    </w:p>
    <w:p w:rsidR="00863450" w:rsidRPr="00220E2F" w:rsidRDefault="00863450" w:rsidP="00863450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20E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СІВЕРСЬКОДОНЕЦЬКОГО РАЙОНУ ЛУГАНСЬКОЇ ОБЛАСТІ</w:t>
      </w:r>
    </w:p>
    <w:p w:rsidR="00863450" w:rsidRPr="00220E2F" w:rsidRDefault="00863450" w:rsidP="00863450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220E2F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863450" w:rsidRPr="00220E2F" w:rsidRDefault="00863450" w:rsidP="00863450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20E2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начальника міської військової адміністрації</w:t>
      </w:r>
    </w:p>
    <w:p w:rsidR="00863450" w:rsidRPr="00220E2F" w:rsidRDefault="00863450" w:rsidP="00863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63450" w:rsidRPr="00220E2F" w:rsidRDefault="00863450" w:rsidP="00863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63450" w:rsidRPr="00103D92" w:rsidRDefault="00103D92" w:rsidP="0086345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01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серпня 2025 р.</w:t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</w:t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863450" w:rsidRPr="00220E2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м. Лисичанськ</w:t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</w:t>
      </w:r>
      <w:r w:rsidR="00863450" w:rsidRPr="00220E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208</w:t>
      </w:r>
    </w:p>
    <w:p w:rsidR="00863450" w:rsidRPr="00220E2F" w:rsidRDefault="00863450" w:rsidP="00863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63450" w:rsidRPr="00220E2F" w:rsidRDefault="00863450" w:rsidP="00863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63450" w:rsidRPr="00220E2F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внесення змін до складу Молодіжної ради при адміністрації</w:t>
      </w:r>
    </w:p>
    <w:p w:rsidR="00863450" w:rsidRPr="00220E2F" w:rsidRDefault="00863450" w:rsidP="00863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77ACF" w:rsidRDefault="00863450" w:rsidP="00E77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частиною першою, пунктами 1,</w:t>
      </w:r>
      <w:r w:rsidR="00A30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 частини сьомої статті 15 Закону України «Про правовий режим воєнного стану», Постановою Верховно</w:t>
      </w:r>
      <w:r w:rsidR="00A30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Ради України від 18.10.2022 № 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2670-ІХ </w:t>
      </w:r>
      <w:r w:rsidR="00A30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здійснення начальником Лисичанської міської військової адміні</w:t>
      </w:r>
      <w:r w:rsidR="00A30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страції Сєвєродонецького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району Луганської області повноважень, передбачених частиною другою статті 10 </w:t>
      </w:r>
      <w:r w:rsidR="00A30099"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</w:t>
      </w:r>
      <w:r w:rsidR="00A30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правовий режим воєнного стану», відповідно до Указу През</w:t>
      </w:r>
      <w:r w:rsidR="00A300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идента України від 31.07.2004 № 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854/2004 «Про забезпечення умов для більш широкої участі громадськості у формуванні та реалізації державної політики», Типового положення про молодіжну раду місцевого рівня, затвердженого постановою Кабінету Мін</w:t>
      </w:r>
      <w:r w:rsidR="00E77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істрів України від 18.12.2018 № 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1198, враховуючи протокол уст</w:t>
      </w:r>
      <w:r w:rsidR="00E77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ановчих зборів від 11.09.2023 № </w:t>
      </w: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1, </w:t>
      </w:r>
      <w:r w:rsidR="00E77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протокол засідання </w:t>
      </w:r>
      <w:r w:rsidR="00E77ACF" w:rsidRPr="00E77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Молодіжної ради</w:t>
      </w:r>
      <w:r w:rsidR="00E77A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 ад</w:t>
      </w:r>
      <w:r w:rsidR="00EA1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міністрації від 24.07.2025 № 5,</w:t>
      </w:r>
    </w:p>
    <w:p w:rsidR="00863450" w:rsidRPr="00220E2F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450" w:rsidRPr="00220E2F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863450" w:rsidRPr="00220E2F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271C" w:rsidRDefault="00863450" w:rsidP="00863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20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внести зміни до складу Молодіжної ради при Лисичанській міській військовій адміністрації, </w:t>
      </w:r>
      <w:r w:rsidR="005E2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затвердженого розпорядженням начальника міської військової адміністрації від 13.09.2023 № 471, виклавши його у новій редакції, що додається.</w:t>
      </w:r>
    </w:p>
    <w:p w:rsidR="00863450" w:rsidRPr="00220E2F" w:rsidRDefault="00863450" w:rsidP="008634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863450" w:rsidRPr="00220E2F" w:rsidRDefault="00863450" w:rsidP="008634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863450" w:rsidRDefault="00863450" w:rsidP="008634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5E271C" w:rsidRPr="00220E2F" w:rsidRDefault="005E271C" w:rsidP="008634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863450" w:rsidRPr="00220E2F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Перший заступник начальника</w:t>
      </w:r>
    </w:p>
    <w:p w:rsidR="00863450" w:rsidRPr="00220E2F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Лисичанської міської</w:t>
      </w:r>
    </w:p>
    <w:p w:rsidR="005E271C" w:rsidRDefault="00863450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 w:rsidRPr="0022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 xml:space="preserve">   Руслан САДОВСЬКИЙ</w:t>
      </w:r>
    </w:p>
    <w:p w:rsidR="005E271C" w:rsidRDefault="005E271C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71C" w:rsidRDefault="005E271C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71C" w:rsidRDefault="005E271C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71C" w:rsidRDefault="005E271C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71C" w:rsidRDefault="005E271C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71C" w:rsidRDefault="005E271C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D92" w:rsidRDefault="00103D92" w:rsidP="003C40ED">
      <w:pPr>
        <w:spacing w:after="0" w:line="240" w:lineRule="auto"/>
        <w:ind w:left="55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C40ED" w:rsidRDefault="003C40ED" w:rsidP="003C40ED">
      <w:pPr>
        <w:spacing w:after="0" w:line="240" w:lineRule="auto"/>
        <w:ind w:left="55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3C40ED" w:rsidRDefault="003C40ED" w:rsidP="003C40ED">
      <w:pPr>
        <w:spacing w:before="120"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начальника</w:t>
      </w:r>
    </w:p>
    <w:p w:rsidR="003C40ED" w:rsidRDefault="003C40ED" w:rsidP="003C40E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Лисичанської міської</w:t>
      </w:r>
    </w:p>
    <w:p w:rsidR="003C40ED" w:rsidRDefault="003C40ED" w:rsidP="003C40E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військової адміністрації</w:t>
      </w:r>
    </w:p>
    <w:p w:rsidR="003C40ED" w:rsidRDefault="00103D92" w:rsidP="003C40ED">
      <w:pPr>
        <w:spacing w:before="120"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01 серпня 2025 р.</w:t>
      </w:r>
      <w:r w:rsidR="003C40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208</w:t>
      </w: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СКЛАД</w:t>
      </w: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Молодіжної ради при Лисичанській міській військовій адміністрації</w:t>
      </w: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0"/>
        <w:gridCol w:w="6378"/>
      </w:tblGrid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Гуртовой Владислав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працівник Аварійно-рятувального загону спеціального призначення ГУ ДСНС України у Луганській </w:t>
            </w:r>
            <w:r>
              <w:rPr>
                <w:sz w:val="28"/>
                <w:szCs w:val="28"/>
                <w:lang w:val="uk-UA" w:eastAsia="uk-UA"/>
              </w:rPr>
              <w:t>області, голова Молодіжної ради</w:t>
            </w:r>
          </w:p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Радюшина Марина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бібліотекар  Комунального закладу «</w:t>
            </w:r>
            <w:r>
              <w:rPr>
                <w:sz w:val="28"/>
                <w:szCs w:val="28"/>
                <w:lang w:val="uk-UA" w:eastAsia="uk-UA"/>
              </w:rPr>
              <w:t>Лисичанська публічна бібліотечна система»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, заступник голови </w:t>
            </w:r>
            <w:r>
              <w:rPr>
                <w:sz w:val="28"/>
                <w:szCs w:val="28"/>
                <w:lang w:val="uk-UA" w:eastAsia="uk-UA"/>
              </w:rPr>
              <w:t>Молодіжної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ради</w:t>
            </w:r>
          </w:p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RPr="00103D92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Заєць Олена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психологиня Лисичанської гімназії № 24 Сєвєродонецького району Луганської області, секретар </w:t>
            </w:r>
            <w:r>
              <w:rPr>
                <w:sz w:val="28"/>
                <w:szCs w:val="28"/>
                <w:lang w:val="uk-UA" w:eastAsia="uk-UA"/>
              </w:rPr>
              <w:t>Молодіжної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ради</w:t>
            </w:r>
          </w:p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Tr="003C40ED">
        <w:tc>
          <w:tcPr>
            <w:tcW w:w="9802" w:type="dxa"/>
            <w:gridSpan w:val="3"/>
          </w:tcPr>
          <w:p w:rsidR="003C40ED" w:rsidRDefault="003C40ED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Члени </w:t>
            </w:r>
            <w:r>
              <w:rPr>
                <w:b/>
                <w:sz w:val="28"/>
                <w:szCs w:val="28"/>
                <w:lang w:val="uk-UA" w:eastAsia="uk-UA"/>
              </w:rPr>
              <w:t>Молодіжної ради</w:t>
            </w:r>
          </w:p>
          <w:p w:rsidR="003C40ED" w:rsidRDefault="003C40ED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Блинов Данило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студент Лисичанського державного гірничо-індустріального фахового коледжу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Глотова Лоліта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координаторка відкриттів молодіжних Центрів у Дніпропетровській області</w:t>
            </w:r>
          </w:p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RPr="00103D92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Горбунов Едуард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головний спеціаліст відділу з питань внутрішньої політики та організаційної роботи адміністрації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Жукова Вероніка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студентка Дніпровського національного університету імені Олеся Гончара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Косецький Олексій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студент Лисичанського державного гірничо-індустріального фахового коледжу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Лазарева Марина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реєстратор Благодійної організації «Благодійний фонд «СпівДія»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RPr="00103D92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Руденко Юлія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tabs>
                <w:tab w:val="left" w:pos="279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волонтерка, менеджерка Громадської організації «Офіс жіночої адаптації»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Скрябін Сергій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волонтер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Слюсар Валерія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завідувачка Філії КЗ «Лисичанський Палац культури ім. В.М. Сосюри» «Клуб селища міського типу Вовчоярівка»</w:t>
            </w:r>
          </w:p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Сподіна Вікторія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вчитель історії, правознавства та громадянської освіти Лисичанського ліцею № 7 Сєвєродонецького району Луганської області</w:t>
            </w:r>
          </w:p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Столяревський Олег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виконавчий директор Громадської організації «Луганська обласна федерація шахів»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Філенко Юлія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головний спеціаліст відділу культури</w:t>
            </w:r>
            <w:r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адміністрації</w:t>
            </w:r>
          </w:p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</w:p>
        </w:tc>
      </w:tr>
      <w:tr w:rsidR="003C40ED" w:rsidTr="003C40ED">
        <w:tc>
          <w:tcPr>
            <w:tcW w:w="3114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Хильчук Людмила</w:t>
            </w:r>
          </w:p>
        </w:tc>
        <w:tc>
          <w:tcPr>
            <w:tcW w:w="310" w:type="dxa"/>
            <w:hideMark/>
          </w:tcPr>
          <w:p w:rsidR="003C40ED" w:rsidRDefault="003C40ED">
            <w:pPr>
              <w:tabs>
                <w:tab w:val="left" w:pos="279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8" w:type="dxa"/>
            <w:hideMark/>
          </w:tcPr>
          <w:p w:rsidR="003C40ED" w:rsidRDefault="003C40E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 Громадської організації «Скіфський Курган»</w:t>
            </w:r>
          </w:p>
        </w:tc>
      </w:tr>
    </w:tbl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C40ED" w:rsidRDefault="003C40ED" w:rsidP="003C4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C40ED" w:rsidRDefault="003C40ED" w:rsidP="003C4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 відділу молоді та спорту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Ніна НЕЦВЄТ</w:t>
      </w:r>
    </w:p>
    <w:p w:rsidR="003C40ED" w:rsidRPr="00220E2F" w:rsidRDefault="003C40ED" w:rsidP="0086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C40ED" w:rsidRPr="00220E2F" w:rsidSect="00220E2F">
      <w:pgSz w:w="11909" w:h="16834"/>
      <w:pgMar w:top="28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450"/>
    <w:rsid w:val="000743A9"/>
    <w:rsid w:val="00103D92"/>
    <w:rsid w:val="00220E2F"/>
    <w:rsid w:val="0026143A"/>
    <w:rsid w:val="003C40ED"/>
    <w:rsid w:val="004F6756"/>
    <w:rsid w:val="005E271C"/>
    <w:rsid w:val="00863450"/>
    <w:rsid w:val="00A30099"/>
    <w:rsid w:val="00AB4086"/>
    <w:rsid w:val="00C3457B"/>
    <w:rsid w:val="00DF52DC"/>
    <w:rsid w:val="00E77ACF"/>
    <w:rsid w:val="00E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AD7"/>
  <w15:docId w15:val="{5B2FE8C3-B048-4C19-9667-DC14D85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DC"/>
  </w:style>
  <w:style w:type="paragraph" w:styleId="1">
    <w:name w:val="heading 1"/>
    <w:basedOn w:val="a"/>
    <w:next w:val="a"/>
    <w:link w:val="10"/>
    <w:qFormat/>
    <w:rsid w:val="0086345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450"/>
    <w:rPr>
      <w:rFonts w:ascii="Arial" w:eastAsia="Times New Roman" w:hAnsi="Arial" w:cs="Times New Roman"/>
      <w:b/>
      <w:sz w:val="32"/>
      <w:szCs w:val="20"/>
      <w:lang w:val="uk-UA"/>
    </w:rPr>
  </w:style>
  <w:style w:type="paragraph" w:styleId="a3">
    <w:name w:val="Title"/>
    <w:basedOn w:val="a"/>
    <w:link w:val="a4"/>
    <w:uiPriority w:val="99"/>
    <w:qFormat/>
    <w:rsid w:val="008634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8634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34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C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2124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РОЗПОРЯДЖЕННЯ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Lapstore</dc:creator>
  <cp:lastModifiedBy>2317 PC</cp:lastModifiedBy>
  <cp:revision>11</cp:revision>
  <dcterms:created xsi:type="dcterms:W3CDTF">2025-07-30T12:28:00Z</dcterms:created>
  <dcterms:modified xsi:type="dcterms:W3CDTF">2025-08-07T11:28:00Z</dcterms:modified>
</cp:coreProperties>
</file>