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523E7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C523E7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646E5B" w:rsidRDefault="00646E5B" w:rsidP="00A54BD0">
      <w:pPr>
        <w:pStyle w:val="af2"/>
        <w:rPr>
          <w:rFonts w:ascii="Times New Roman" w:hAnsi="Times New Roman"/>
          <w:sz w:val="28"/>
          <w:szCs w:val="28"/>
        </w:rPr>
      </w:pPr>
      <w:r w:rsidRPr="00646E5B">
        <w:rPr>
          <w:rFonts w:ascii="Times New Roman" w:hAnsi="Times New Roman"/>
          <w:sz w:val="28"/>
          <w:szCs w:val="28"/>
        </w:rPr>
        <w:t>09.06.2021</w:t>
      </w:r>
      <w:r w:rsidRPr="00646E5B">
        <w:rPr>
          <w:rFonts w:ascii="Times New Roman" w:hAnsi="Times New Roman"/>
          <w:sz w:val="28"/>
          <w:szCs w:val="28"/>
        </w:rPr>
        <w:tab/>
      </w:r>
      <w:r w:rsidR="00FD04F5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C523E7">
        <w:rPr>
          <w:rFonts w:ascii="Times New Roman" w:hAnsi="Times New Roman"/>
          <w:sz w:val="28"/>
          <w:szCs w:val="28"/>
          <w:lang w:val="uk-UA"/>
        </w:rPr>
        <w:t>№</w:t>
      </w:r>
      <w:r w:rsidRPr="00646E5B">
        <w:rPr>
          <w:rFonts w:ascii="Times New Roman" w:hAnsi="Times New Roman"/>
          <w:sz w:val="28"/>
          <w:szCs w:val="28"/>
        </w:rPr>
        <w:t xml:space="preserve"> 511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Pr="00C523E7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CC301C" w:rsidRPr="00C523E7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</w:t>
      </w:r>
      <w:r w:rsidR="00CD5C73" w:rsidRPr="00C523E7">
        <w:rPr>
          <w:rFonts w:ascii="Times New Roman" w:hAnsi="Times New Roman"/>
          <w:b/>
          <w:sz w:val="28"/>
          <w:szCs w:val="28"/>
          <w:lang w:val="uk-UA"/>
        </w:rPr>
        <w:t>від 13</w:t>
      </w:r>
      <w:r w:rsidR="00A0454C" w:rsidRPr="00C523E7">
        <w:rPr>
          <w:rFonts w:ascii="Times New Roman" w:hAnsi="Times New Roman"/>
          <w:b/>
          <w:sz w:val="28"/>
          <w:szCs w:val="28"/>
          <w:lang w:val="uk-UA"/>
        </w:rPr>
        <w:t>.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>0</w:t>
      </w:r>
      <w:r w:rsidR="00CD5C73" w:rsidRPr="00C523E7">
        <w:rPr>
          <w:rFonts w:ascii="Times New Roman" w:hAnsi="Times New Roman"/>
          <w:b/>
          <w:sz w:val="28"/>
          <w:szCs w:val="28"/>
          <w:lang w:val="uk-UA"/>
        </w:rPr>
        <w:t>5</w:t>
      </w:r>
      <w:r w:rsidR="00A0454C" w:rsidRPr="00C523E7">
        <w:rPr>
          <w:rFonts w:ascii="Times New Roman" w:hAnsi="Times New Roman"/>
          <w:b/>
          <w:sz w:val="28"/>
          <w:szCs w:val="28"/>
          <w:lang w:val="uk-UA"/>
        </w:rPr>
        <w:t xml:space="preserve">.2021 </w:t>
      </w:r>
      <w:r w:rsidR="00E601B6" w:rsidRPr="00C523E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CD5C73" w:rsidRPr="00C523E7">
        <w:rPr>
          <w:rFonts w:ascii="Times New Roman" w:hAnsi="Times New Roman"/>
          <w:b/>
          <w:sz w:val="28"/>
          <w:szCs w:val="28"/>
          <w:lang w:val="uk-UA"/>
        </w:rPr>
        <w:t>3</w:t>
      </w:r>
      <w:r w:rsidR="00E72D52" w:rsidRPr="00C523E7">
        <w:rPr>
          <w:rFonts w:ascii="Times New Roman" w:hAnsi="Times New Roman"/>
          <w:b/>
          <w:sz w:val="28"/>
          <w:szCs w:val="28"/>
          <w:lang w:val="uk-UA"/>
        </w:rPr>
        <w:t>6</w:t>
      </w:r>
      <w:r w:rsidR="00CD5C73" w:rsidRPr="00C523E7">
        <w:rPr>
          <w:rFonts w:ascii="Times New Roman" w:hAnsi="Times New Roman"/>
          <w:b/>
          <w:sz w:val="28"/>
          <w:szCs w:val="28"/>
          <w:lang w:val="uk-UA"/>
        </w:rPr>
        <w:t>3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розвитку та фінансової підтримки КНП «Лисичанська багатопрофільна лікарня» на 2021 рік»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C523E7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орони здоров’я міста Лисичанськ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Луганської област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 w:rsidRPr="00C523E7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2802-XII, статтею 3 Закону України «Про державні фінансові гарантії медичного обслуговування населення» від 19.10.2017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2168-VIII, підпунктом 3 пункту 1 статті 89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950F20" w:rsidRPr="00C523E7">
        <w:rPr>
          <w:rFonts w:ascii="Times New Roman" w:hAnsi="Times New Roman"/>
          <w:sz w:val="28"/>
          <w:szCs w:val="28"/>
          <w:lang w:val="uk-UA"/>
        </w:rPr>
        <w:t>постановою КМУ «Деякі питання оплати праці медичних та інших працівників закладів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19.06.2020 №610</w:t>
      </w:r>
      <w:r w:rsidR="00950F20" w:rsidRPr="00C523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C523E7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30.11.2016 №1013-р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C523E7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C523E7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C523E7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E72D52" w:rsidRPr="00C523E7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4DBE" w:rsidRPr="00C523E7">
        <w:rPr>
          <w:rFonts w:ascii="Times New Roman" w:hAnsi="Times New Roman"/>
          <w:sz w:val="28"/>
          <w:szCs w:val="28"/>
          <w:lang w:val="uk-UA"/>
        </w:rPr>
        <w:t>«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C523E7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C523E7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C523E7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AD2" w:rsidRPr="00C523E7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C523E7" w:rsidRPr="00C523E7">
        <w:rPr>
          <w:rFonts w:ascii="Times New Roman" w:hAnsi="Times New Roman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Євгена НАЮКА та 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>начальника відділу охорони здоров’я Лисичанської міської військово-цивільної адміністрації Ігоря БОНДАРЕНКА.</w:t>
      </w:r>
    </w:p>
    <w:p w:rsidR="00A43832" w:rsidRPr="00C523E7" w:rsidRDefault="00A43832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C523E7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C523E7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832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Лисичанської міської </w:t>
      </w:r>
    </w:p>
    <w:p w:rsidR="00A413EC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8C5AA2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Pr="00C523E7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C523E7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FD2C7A" w:rsidRPr="009A69FB" w:rsidRDefault="00B64A24" w:rsidP="009A69FB">
      <w:pPr>
        <w:pStyle w:val="af2"/>
        <w:ind w:left="4956" w:firstLine="708"/>
        <w:rPr>
          <w:rFonts w:ascii="Times New Roman" w:hAnsi="Times New Roman"/>
          <w:sz w:val="26"/>
          <w:szCs w:val="26"/>
          <w:lang w:val="en-US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7772F" w:rsidRPr="0067772F">
        <w:rPr>
          <w:rFonts w:ascii="Times New Roman" w:hAnsi="Times New Roman"/>
          <w:sz w:val="26"/>
          <w:szCs w:val="26"/>
          <w:lang w:val="uk-UA"/>
        </w:rPr>
        <w:t>09.06.</w:t>
      </w:r>
      <w:r w:rsidR="0067772F">
        <w:rPr>
          <w:rFonts w:ascii="Times New Roman" w:hAnsi="Times New Roman"/>
          <w:sz w:val="26"/>
          <w:szCs w:val="26"/>
          <w:lang w:val="en-US"/>
        </w:rPr>
        <w:t xml:space="preserve">2021 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7772F" w:rsidRPr="0067772F">
        <w:rPr>
          <w:rFonts w:ascii="Times New Roman" w:hAnsi="Times New Roman"/>
          <w:sz w:val="26"/>
          <w:szCs w:val="26"/>
          <w:lang w:val="uk-UA"/>
        </w:rPr>
        <w:t>511</w:t>
      </w:r>
    </w:p>
    <w:p w:rsidR="00B64A24" w:rsidRPr="00C523E7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C523E7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C523E7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646E5B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646E5B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41E13" w:rsidP="00950F2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, постанова КМУ «Деякі питання оплати праці медичних та інших працівників закладів охорони здоров’я», розпорядження КМУ «Про схвалення Концепції реформи фінансування системи охорони здоров’я»</w:t>
            </w:r>
          </w:p>
        </w:tc>
      </w:tr>
      <w:tr w:rsidR="00A54BD0" w:rsidRPr="00646E5B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C523E7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523E7" w:rsidRDefault="00302897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23 743</w:t>
            </w:r>
            <w:r w:rsidR="00F9310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834</w:t>
            </w:r>
          </w:p>
        </w:tc>
      </w:tr>
    </w:tbl>
    <w:p w:rsidR="00A54BD0" w:rsidRPr="00C523E7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2BC2" w:rsidRDefault="00A54BD0" w:rsidP="005B08C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</w:p>
    <w:p w:rsidR="009A69FB" w:rsidRPr="009A69FB" w:rsidRDefault="009A69FB" w:rsidP="005B08C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9A69FB" w:rsidRDefault="009A69FB" w:rsidP="005B08C1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</w:p>
    <w:p w:rsidR="009A69FB" w:rsidRDefault="009A69FB" w:rsidP="005B08C1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</w:p>
    <w:p w:rsidR="00B52BC2" w:rsidRPr="009A69FB" w:rsidRDefault="00B52BC2" w:rsidP="005B08C1">
      <w:pPr>
        <w:pStyle w:val="af1"/>
        <w:ind w:left="7081"/>
        <w:jc w:val="both"/>
        <w:rPr>
          <w:color w:val="808080" w:themeColor="background1" w:themeShade="80"/>
          <w:sz w:val="24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E96861" w:rsidRPr="00C523E7" w:rsidRDefault="00A54BD0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постановою КМУ від 19.06.2020 №610 «Деякі питання оплати праці медичних та інших працівників закладів охорони здоров’я»,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C523E7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C523E7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950F20" w:rsidRPr="005B08C1" w:rsidRDefault="00A54BD0" w:rsidP="005B08C1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C523E7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C523E7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B52BC2" w:rsidRPr="005B08C1" w:rsidRDefault="00A54BD0" w:rsidP="005B08C1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Таким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B52BC2" w:rsidRPr="00C523E7" w:rsidRDefault="00B52BC2" w:rsidP="00B52BC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B52BC2" w:rsidRPr="00C523E7" w:rsidRDefault="00B52BC2" w:rsidP="00044230">
      <w:pPr>
        <w:pStyle w:val="af2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C523E7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C523E7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П</w:t>
      </w:r>
      <w:r w:rsidRPr="00C523E7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C523E7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C523E7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Pr="00C523E7" w:rsidRDefault="004C00A9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Pr="00C523E7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302897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E04FF8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 w:rsidRPr="00C523E7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A51D6E" w:rsidRPr="00C523E7" w:rsidRDefault="00A51D6E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044230" w:rsidRPr="00C523E7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Pr="00C523E7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A752F2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A03B77" w:rsidRPr="00C523E7" w:rsidRDefault="00A51D6E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проведення  капітальних  ремонтів та  реконструкцій відповідно до потреби;</w:t>
      </w:r>
    </w:p>
    <w:p w:rsidR="00FE3FE3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C523E7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рахунок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302897" w:rsidRPr="00C523E7" w:rsidRDefault="003F048C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C523E7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lastRenderedPageBreak/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C523E7" w:rsidRDefault="00302897" w:rsidP="00302897">
      <w:pPr>
        <w:pStyle w:val="af1"/>
        <w:ind w:left="7081"/>
        <w:jc w:val="both"/>
        <w:rPr>
          <w:sz w:val="26"/>
          <w:szCs w:val="26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2F2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 w:rsidRPr="00C523E7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A51D6E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04FF8" w:rsidRPr="00C523E7" w:rsidRDefault="00E04FF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C523E7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«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області.</w:t>
      </w:r>
    </w:p>
    <w:p w:rsidR="00A54BD0" w:rsidRPr="00C523E7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5D08B1" w:rsidRPr="00C523E7" w:rsidRDefault="005D08B1" w:rsidP="0004423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302897" w:rsidRPr="009A69FB" w:rsidRDefault="00A54BD0" w:rsidP="009A69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діяльності.</w:t>
      </w:r>
      <w:bookmarkStart w:id="0" w:name="_GoBack"/>
      <w:bookmarkEnd w:id="0"/>
    </w:p>
    <w:p w:rsidR="00D4313E" w:rsidRPr="009A69FB" w:rsidRDefault="00302897" w:rsidP="009A69FB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A06076" w:rsidRPr="00C523E7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93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5105"/>
        <w:gridCol w:w="1134"/>
        <w:gridCol w:w="2552"/>
        <w:gridCol w:w="1561"/>
        <w:gridCol w:w="14"/>
      </w:tblGrid>
      <w:tr w:rsidR="00044230" w:rsidRPr="00C523E7" w:rsidTr="00302897">
        <w:trPr>
          <w:gridAfter w:val="1"/>
          <w:wAfter w:w="13" w:type="dxa"/>
          <w:trHeight w:val="9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Строк виконання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Джерела фінансування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C523E7" w:rsidTr="00302897">
        <w:trPr>
          <w:gridAfter w:val="1"/>
          <w:wAfter w:w="13" w:type="dxa"/>
          <w:trHeight w:val="108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C523E7" w:rsidRDefault="00044230" w:rsidP="00A9502F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C523E7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1 000,000</w:t>
            </w:r>
          </w:p>
        </w:tc>
      </w:tr>
      <w:tr w:rsidR="00B52BC2" w:rsidRPr="00C523E7" w:rsidTr="00302897">
        <w:trPr>
          <w:gridAfter w:val="1"/>
          <w:wAfter w:w="13" w:type="dxa"/>
          <w:trHeight w:val="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C523E7" w:rsidRDefault="00B52BC2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A9502F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A9502F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302897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13 608,213</w:t>
            </w:r>
          </w:p>
        </w:tc>
      </w:tr>
      <w:tr w:rsidR="00B52BC2" w:rsidRPr="00C523E7" w:rsidTr="009635A0">
        <w:trPr>
          <w:trHeight w:val="7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C523E7" w:rsidRDefault="00B52BC2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0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B52BC2" w:rsidRPr="00C523E7" w:rsidTr="00302897">
        <w:trPr>
          <w:gridAfter w:val="1"/>
          <w:wAfter w:w="13" w:type="dxa"/>
          <w:trHeight w:val="258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8 035,001</w:t>
            </w:r>
          </w:p>
        </w:tc>
      </w:tr>
      <w:tr w:rsidR="00B52BC2" w:rsidRPr="00C523E7" w:rsidTr="00302897">
        <w:trPr>
          <w:gridAfter w:val="1"/>
          <w:wAfter w:w="13" w:type="dxa"/>
          <w:trHeight w:val="7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600,580</w:t>
            </w:r>
          </w:p>
        </w:tc>
      </w:tr>
      <w:tr w:rsidR="00B52BC2" w:rsidRPr="00C523E7" w:rsidTr="00302897">
        <w:trPr>
          <w:gridAfter w:val="1"/>
          <w:wAfter w:w="13" w:type="dxa"/>
          <w:trHeight w:val="7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BC2" w:rsidRPr="00C523E7" w:rsidRDefault="00B52BC2" w:rsidP="009B73EE">
            <w:pPr>
              <w:pStyle w:val="af2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302897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4 713,147</w:t>
            </w:r>
          </w:p>
        </w:tc>
      </w:tr>
      <w:tr w:rsidR="00B52BC2" w:rsidRPr="00C523E7" w:rsidTr="00302897">
        <w:trPr>
          <w:gridAfter w:val="1"/>
          <w:wAfter w:w="13" w:type="dxa"/>
          <w:trHeight w:val="165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35,179</w:t>
            </w:r>
          </w:p>
        </w:tc>
      </w:tr>
      <w:tr w:rsidR="00B52BC2" w:rsidRPr="00C523E7" w:rsidTr="00302897">
        <w:trPr>
          <w:gridAfter w:val="1"/>
          <w:wAfter w:w="13" w:type="dxa"/>
          <w:trHeight w:val="7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CD5C73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224,306</w:t>
            </w:r>
          </w:p>
        </w:tc>
      </w:tr>
      <w:tr w:rsidR="004C00A9" w:rsidRPr="00C523E7" w:rsidTr="00302897">
        <w:trPr>
          <w:gridAfter w:val="1"/>
          <w:wAfter w:w="13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523E7" w:rsidRDefault="004C00A9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523E7" w:rsidRDefault="004C00A9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523E7" w:rsidRDefault="004C00A9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523E7" w:rsidRDefault="004C00A9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523E7" w:rsidRDefault="00E04FF8" w:rsidP="009B73EE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1 603,15</w:t>
            </w:r>
            <w:r w:rsidR="00C50679"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1</w:t>
            </w:r>
          </w:p>
        </w:tc>
      </w:tr>
      <w:tr w:rsidR="00A51D6E" w:rsidRPr="00C523E7" w:rsidTr="00302897">
        <w:trPr>
          <w:gridAfter w:val="1"/>
          <w:wAfter w:w="13" w:type="dxa"/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C523E7" w:rsidRDefault="00A51D6E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C523E7" w:rsidRDefault="00433CCD" w:rsidP="00F93102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Реконструкція частини першо</w:t>
            </w:r>
            <w:r w:rsidR="00A51D6E"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го поверху будівлі хірургічного корпусу КНП «Лисичанська багатопрофільна лікарня» для розміщення прий</w:t>
            </w:r>
            <w:r w:rsidR="00F93102"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мального відділення за адресою: </w:t>
            </w:r>
            <w:r w:rsidR="002708FB"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                        </w:t>
            </w:r>
            <w:r w:rsidR="00A51D6E"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м. Лисичанськ, 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C523E7" w:rsidRDefault="0063523D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C523E7" w:rsidRDefault="0063523D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C523E7" w:rsidRDefault="00302897" w:rsidP="009B73EE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2 173,396</w:t>
            </w:r>
          </w:p>
        </w:tc>
      </w:tr>
      <w:tr w:rsidR="00FE3FE3" w:rsidRPr="00C523E7" w:rsidTr="00302897">
        <w:trPr>
          <w:gridAfter w:val="1"/>
          <w:wAfter w:w="13" w:type="dxa"/>
          <w:trHeight w:val="281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C523E7" w:rsidRDefault="00FE3FE3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C523E7" w:rsidRDefault="00FE3FE3" w:rsidP="00F268FA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Оплата послуг з розробки проектно-кошторисної документації та послуг з монтажу системи </w:t>
            </w:r>
            <w:proofErr w:type="spellStart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киснепостачання</w:t>
            </w:r>
            <w:proofErr w:type="spellEnd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відділення екстреної (невідкладної) медичної допомоги КНП «Лисичанська багатопрофільна лікарня»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C523E7" w:rsidRDefault="00FE3FE3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C523E7" w:rsidRDefault="00FE3FE3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C523E7" w:rsidRDefault="00A96C4F" w:rsidP="009B73EE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185,680</w:t>
            </w:r>
          </w:p>
        </w:tc>
      </w:tr>
      <w:tr w:rsidR="009B7F44" w:rsidRPr="00C523E7" w:rsidTr="00302897">
        <w:trPr>
          <w:gridAfter w:val="1"/>
          <w:wAfter w:w="13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C523E7" w:rsidRDefault="009B7F44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C523E7" w:rsidRDefault="00D31865" w:rsidP="00F93102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Капітальний ремонт покрівлі хірургічного корпусу КНП «Лисичанська багатопрофільна лікарня», який розташований за адресою: м. Лисичанськ, </w:t>
            </w:r>
            <w:r w:rsidR="002708FB"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         </w:t>
            </w: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C523E7" w:rsidRDefault="00D31865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C523E7" w:rsidRDefault="00D31865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C523E7" w:rsidRDefault="00D31865" w:rsidP="009B73EE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4 153,963</w:t>
            </w:r>
          </w:p>
        </w:tc>
      </w:tr>
      <w:tr w:rsidR="00F268FA" w:rsidRPr="00C523E7" w:rsidTr="00302897">
        <w:trPr>
          <w:gridAfter w:val="1"/>
          <w:wAfter w:w="14" w:type="dxa"/>
          <w:trHeight w:val="643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C523E7" w:rsidRDefault="00F268FA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C523E7" w:rsidRDefault="00F268FA" w:rsidP="00F93102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Монтаж системи </w:t>
            </w:r>
            <w:proofErr w:type="spellStart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киснепостачання</w:t>
            </w:r>
            <w:proofErr w:type="spellEnd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(ремонт кисневої рампи) хірургічного</w:t>
            </w:r>
            <w:r w:rsidR="00F93102"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корпусу КНП «Лисичанська багатопрофільна лікарня», який розташований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C523E7" w:rsidRDefault="00F268FA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C523E7" w:rsidRDefault="00F268FA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C523E7" w:rsidRDefault="00F93102" w:rsidP="009B73EE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70,431</w:t>
            </w:r>
          </w:p>
        </w:tc>
      </w:tr>
      <w:tr w:rsidR="00F268FA" w:rsidRPr="00C523E7" w:rsidTr="00302897">
        <w:trPr>
          <w:gridAfter w:val="1"/>
          <w:wAfter w:w="14" w:type="dxa"/>
          <w:trHeight w:val="79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C523E7" w:rsidRDefault="00F268FA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C523E7" w:rsidRDefault="00F93102" w:rsidP="00F268FA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Придбання медикаментів та перев’язувальних матеріалів (медичний кисень газоподібний)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C523E7" w:rsidRDefault="00F268FA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C523E7" w:rsidRDefault="00F268FA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 xml:space="preserve">Місцевий бюджет та інші джерела, не заборонені чинним </w:t>
            </w:r>
            <w:r w:rsidR="00302897"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C523E7" w:rsidRDefault="00F93102" w:rsidP="00302897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183,600</w:t>
            </w:r>
          </w:p>
        </w:tc>
      </w:tr>
      <w:tr w:rsidR="00302897" w:rsidRPr="00C523E7" w:rsidTr="00302897">
        <w:trPr>
          <w:gridAfter w:val="1"/>
          <w:wAfter w:w="14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C523E7" w:rsidRDefault="00302897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C523E7" w:rsidRDefault="00302897" w:rsidP="00F268FA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Придбання платформи для об’єктивного обстеження слуху </w:t>
            </w:r>
            <w:proofErr w:type="spellStart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Sera</w:t>
            </w:r>
            <w:proofErr w:type="spellEnd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(з модулями програмного забезпечення ABRIS та DPOAE)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C523E7" w:rsidRDefault="00302897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C523E7" w:rsidRDefault="00302897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C523E7" w:rsidRDefault="00302897" w:rsidP="00302897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534,900</w:t>
            </w:r>
          </w:p>
        </w:tc>
      </w:tr>
      <w:tr w:rsidR="00302897" w:rsidRPr="00C523E7" w:rsidTr="00302897">
        <w:trPr>
          <w:gridAfter w:val="1"/>
          <w:wAfter w:w="14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C523E7" w:rsidRDefault="00302897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C523E7" w:rsidRDefault="00302897" w:rsidP="00F268FA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Придбання дефібрилятора-монітора Cardio-Aid 360-B (KCA360-B) з багаторазовими електродами та </w:t>
            </w:r>
            <w:proofErr w:type="spellStart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термопринтером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C523E7" w:rsidRDefault="00302897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C523E7" w:rsidRDefault="00302897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C523E7" w:rsidRDefault="00302897" w:rsidP="00302897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230,500</w:t>
            </w:r>
          </w:p>
        </w:tc>
      </w:tr>
      <w:tr w:rsidR="00F268FA" w:rsidRPr="00C523E7" w:rsidTr="00302897">
        <w:trPr>
          <w:gridAfter w:val="1"/>
          <w:wAfter w:w="14" w:type="dxa"/>
          <w:trHeight w:val="7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C523E7" w:rsidRDefault="00F268FA" w:rsidP="009B73EE">
            <w:pPr>
              <w:pStyle w:val="af2"/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C523E7" w:rsidRDefault="00302897" w:rsidP="009B73EE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23 743,8</w:t>
            </w:r>
            <w:r w:rsidR="00F93102"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34</w:t>
            </w:r>
          </w:p>
        </w:tc>
      </w:tr>
    </w:tbl>
    <w:p w:rsidR="00B52BC2" w:rsidRPr="0067772F" w:rsidRDefault="00B52BC2" w:rsidP="009A69FB">
      <w:pPr>
        <w:rPr>
          <w:sz w:val="28"/>
          <w:szCs w:val="28"/>
          <w:lang w:val="en-US" w:eastAsia="uk-UA"/>
        </w:rPr>
      </w:pPr>
    </w:p>
    <w:sectPr w:rsidR="00B52BC2" w:rsidRPr="0067772F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53" w:rsidRDefault="000F5F53" w:rsidP="006F1556">
      <w:r>
        <w:separator/>
      </w:r>
    </w:p>
  </w:endnote>
  <w:endnote w:type="continuationSeparator" w:id="0">
    <w:p w:rsidR="000F5F53" w:rsidRDefault="000F5F5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53" w:rsidRDefault="000F5F53" w:rsidP="006F1556">
      <w:r>
        <w:separator/>
      </w:r>
    </w:p>
  </w:footnote>
  <w:footnote w:type="continuationSeparator" w:id="0">
    <w:p w:rsidR="000F5F53" w:rsidRDefault="000F5F5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EE" w:rsidRDefault="009B73EE" w:rsidP="00A41DE7">
    <w:pPr>
      <w:pStyle w:val="ac"/>
    </w:pPr>
  </w:p>
  <w:p w:rsidR="009B73EE" w:rsidRDefault="009B73E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23D3F"/>
    <w:rsid w:val="00031E51"/>
    <w:rsid w:val="000320A2"/>
    <w:rsid w:val="000320E7"/>
    <w:rsid w:val="00042F1D"/>
    <w:rsid w:val="00044230"/>
    <w:rsid w:val="000559C4"/>
    <w:rsid w:val="00057132"/>
    <w:rsid w:val="00060682"/>
    <w:rsid w:val="000775A5"/>
    <w:rsid w:val="000844C0"/>
    <w:rsid w:val="00086CD9"/>
    <w:rsid w:val="00096E03"/>
    <w:rsid w:val="000A32AE"/>
    <w:rsid w:val="000C47B1"/>
    <w:rsid w:val="000C5C80"/>
    <w:rsid w:val="000C6601"/>
    <w:rsid w:val="000D0690"/>
    <w:rsid w:val="000D721B"/>
    <w:rsid w:val="000F5091"/>
    <w:rsid w:val="000F5F53"/>
    <w:rsid w:val="0011419B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67ABB"/>
    <w:rsid w:val="00170D55"/>
    <w:rsid w:val="00175712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49E6"/>
    <w:rsid w:val="00201E26"/>
    <w:rsid w:val="00221EE6"/>
    <w:rsid w:val="002352C6"/>
    <w:rsid w:val="00245896"/>
    <w:rsid w:val="0025574D"/>
    <w:rsid w:val="00256FB3"/>
    <w:rsid w:val="0026349C"/>
    <w:rsid w:val="002670E5"/>
    <w:rsid w:val="002708FB"/>
    <w:rsid w:val="0027536E"/>
    <w:rsid w:val="00277893"/>
    <w:rsid w:val="00282981"/>
    <w:rsid w:val="00294037"/>
    <w:rsid w:val="00297609"/>
    <w:rsid w:val="002A480F"/>
    <w:rsid w:val="002A7C0A"/>
    <w:rsid w:val="002B6D1A"/>
    <w:rsid w:val="002C2777"/>
    <w:rsid w:val="002D1B08"/>
    <w:rsid w:val="002D2EC5"/>
    <w:rsid w:val="002D4AA4"/>
    <w:rsid w:val="002D51B5"/>
    <w:rsid w:val="002D55F0"/>
    <w:rsid w:val="002E6BC7"/>
    <w:rsid w:val="002E7C5A"/>
    <w:rsid w:val="00302897"/>
    <w:rsid w:val="0031257A"/>
    <w:rsid w:val="003157D2"/>
    <w:rsid w:val="00324E28"/>
    <w:rsid w:val="003421AE"/>
    <w:rsid w:val="003445AF"/>
    <w:rsid w:val="00350C95"/>
    <w:rsid w:val="00351712"/>
    <w:rsid w:val="00355396"/>
    <w:rsid w:val="00360945"/>
    <w:rsid w:val="003841DB"/>
    <w:rsid w:val="00384F81"/>
    <w:rsid w:val="00387976"/>
    <w:rsid w:val="00391C59"/>
    <w:rsid w:val="003A073D"/>
    <w:rsid w:val="003B1E5D"/>
    <w:rsid w:val="003C1268"/>
    <w:rsid w:val="003C25C0"/>
    <w:rsid w:val="003C318A"/>
    <w:rsid w:val="003D40D1"/>
    <w:rsid w:val="003E1C1E"/>
    <w:rsid w:val="003E33A9"/>
    <w:rsid w:val="003F048C"/>
    <w:rsid w:val="0040155D"/>
    <w:rsid w:val="0042147E"/>
    <w:rsid w:val="004310ED"/>
    <w:rsid w:val="00433CCD"/>
    <w:rsid w:val="00436A5C"/>
    <w:rsid w:val="00443F3B"/>
    <w:rsid w:val="00445981"/>
    <w:rsid w:val="00452EAB"/>
    <w:rsid w:val="00461A34"/>
    <w:rsid w:val="0046213A"/>
    <w:rsid w:val="00472CA6"/>
    <w:rsid w:val="004734F5"/>
    <w:rsid w:val="00474F4E"/>
    <w:rsid w:val="0049181C"/>
    <w:rsid w:val="004A05D9"/>
    <w:rsid w:val="004A4A0A"/>
    <w:rsid w:val="004C00A9"/>
    <w:rsid w:val="004C23AC"/>
    <w:rsid w:val="004C435B"/>
    <w:rsid w:val="004C4D9D"/>
    <w:rsid w:val="004C4EBE"/>
    <w:rsid w:val="004D1C6B"/>
    <w:rsid w:val="004D431C"/>
    <w:rsid w:val="004E70BD"/>
    <w:rsid w:val="004F02FF"/>
    <w:rsid w:val="004F54A3"/>
    <w:rsid w:val="004F6694"/>
    <w:rsid w:val="005232BF"/>
    <w:rsid w:val="00541E13"/>
    <w:rsid w:val="0054364E"/>
    <w:rsid w:val="0056140A"/>
    <w:rsid w:val="005A4F95"/>
    <w:rsid w:val="005A7025"/>
    <w:rsid w:val="005B08C1"/>
    <w:rsid w:val="005B4215"/>
    <w:rsid w:val="005B6FF0"/>
    <w:rsid w:val="005C6590"/>
    <w:rsid w:val="005C6DE5"/>
    <w:rsid w:val="005D08B1"/>
    <w:rsid w:val="005D5824"/>
    <w:rsid w:val="005D7D18"/>
    <w:rsid w:val="005E6130"/>
    <w:rsid w:val="0060594B"/>
    <w:rsid w:val="00620D9C"/>
    <w:rsid w:val="0063523D"/>
    <w:rsid w:val="00636622"/>
    <w:rsid w:val="00645527"/>
    <w:rsid w:val="00646E5B"/>
    <w:rsid w:val="00650DE9"/>
    <w:rsid w:val="00653416"/>
    <w:rsid w:val="00667CE8"/>
    <w:rsid w:val="00672F45"/>
    <w:rsid w:val="00674CB0"/>
    <w:rsid w:val="0067772F"/>
    <w:rsid w:val="006855C0"/>
    <w:rsid w:val="006C32BC"/>
    <w:rsid w:val="006E1F5E"/>
    <w:rsid w:val="006E7F90"/>
    <w:rsid w:val="006F1556"/>
    <w:rsid w:val="006F2500"/>
    <w:rsid w:val="006F3C37"/>
    <w:rsid w:val="006F7AAD"/>
    <w:rsid w:val="00710D80"/>
    <w:rsid w:val="0072091D"/>
    <w:rsid w:val="00722337"/>
    <w:rsid w:val="0073059A"/>
    <w:rsid w:val="00733DBC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66A2"/>
    <w:rsid w:val="007D38A0"/>
    <w:rsid w:val="007E796D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5687"/>
    <w:rsid w:val="008A2026"/>
    <w:rsid w:val="008C0234"/>
    <w:rsid w:val="008C0E6F"/>
    <w:rsid w:val="008C5AA2"/>
    <w:rsid w:val="008C750F"/>
    <w:rsid w:val="008D1E8D"/>
    <w:rsid w:val="008D73E2"/>
    <w:rsid w:val="008E67CF"/>
    <w:rsid w:val="008E7190"/>
    <w:rsid w:val="008F77E2"/>
    <w:rsid w:val="00904DBE"/>
    <w:rsid w:val="0091639E"/>
    <w:rsid w:val="00940FDF"/>
    <w:rsid w:val="00947125"/>
    <w:rsid w:val="00950F20"/>
    <w:rsid w:val="0095158C"/>
    <w:rsid w:val="00956474"/>
    <w:rsid w:val="00957D4B"/>
    <w:rsid w:val="0096097F"/>
    <w:rsid w:val="009635A0"/>
    <w:rsid w:val="0096518D"/>
    <w:rsid w:val="00971EE7"/>
    <w:rsid w:val="00977867"/>
    <w:rsid w:val="009853E0"/>
    <w:rsid w:val="0098778D"/>
    <w:rsid w:val="00992264"/>
    <w:rsid w:val="009930BA"/>
    <w:rsid w:val="009A2E83"/>
    <w:rsid w:val="009A69FB"/>
    <w:rsid w:val="009B0A67"/>
    <w:rsid w:val="009B0D84"/>
    <w:rsid w:val="009B330C"/>
    <w:rsid w:val="009B3808"/>
    <w:rsid w:val="009B73EE"/>
    <w:rsid w:val="009B753D"/>
    <w:rsid w:val="009B7F44"/>
    <w:rsid w:val="009C30A3"/>
    <w:rsid w:val="009C6329"/>
    <w:rsid w:val="009C6D6C"/>
    <w:rsid w:val="009D35C0"/>
    <w:rsid w:val="009E5F0F"/>
    <w:rsid w:val="009E65E2"/>
    <w:rsid w:val="009F33DB"/>
    <w:rsid w:val="00A00406"/>
    <w:rsid w:val="00A03B77"/>
    <w:rsid w:val="00A0454C"/>
    <w:rsid w:val="00A06076"/>
    <w:rsid w:val="00A11ACC"/>
    <w:rsid w:val="00A153FC"/>
    <w:rsid w:val="00A15527"/>
    <w:rsid w:val="00A1745F"/>
    <w:rsid w:val="00A27B6A"/>
    <w:rsid w:val="00A3645D"/>
    <w:rsid w:val="00A413EC"/>
    <w:rsid w:val="00A41DE7"/>
    <w:rsid w:val="00A43832"/>
    <w:rsid w:val="00A45826"/>
    <w:rsid w:val="00A51D6E"/>
    <w:rsid w:val="00A53AD2"/>
    <w:rsid w:val="00A54BD0"/>
    <w:rsid w:val="00A6550F"/>
    <w:rsid w:val="00A744A7"/>
    <w:rsid w:val="00A752F2"/>
    <w:rsid w:val="00A82D00"/>
    <w:rsid w:val="00A84103"/>
    <w:rsid w:val="00A903B0"/>
    <w:rsid w:val="00A91541"/>
    <w:rsid w:val="00A9502F"/>
    <w:rsid w:val="00A96C4F"/>
    <w:rsid w:val="00AB30DA"/>
    <w:rsid w:val="00AB5B0F"/>
    <w:rsid w:val="00AC1F9B"/>
    <w:rsid w:val="00AC32C2"/>
    <w:rsid w:val="00AC6F08"/>
    <w:rsid w:val="00AD359D"/>
    <w:rsid w:val="00AF2A99"/>
    <w:rsid w:val="00AF3005"/>
    <w:rsid w:val="00AF366B"/>
    <w:rsid w:val="00AF40CB"/>
    <w:rsid w:val="00B07737"/>
    <w:rsid w:val="00B108C9"/>
    <w:rsid w:val="00B12A9F"/>
    <w:rsid w:val="00B14F62"/>
    <w:rsid w:val="00B341B0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143D"/>
    <w:rsid w:val="00B92F9C"/>
    <w:rsid w:val="00B95850"/>
    <w:rsid w:val="00BA19C3"/>
    <w:rsid w:val="00BB0C28"/>
    <w:rsid w:val="00BE2A41"/>
    <w:rsid w:val="00BE4406"/>
    <w:rsid w:val="00BE639E"/>
    <w:rsid w:val="00BE73E3"/>
    <w:rsid w:val="00BF1073"/>
    <w:rsid w:val="00BF3489"/>
    <w:rsid w:val="00C07B6D"/>
    <w:rsid w:val="00C07E61"/>
    <w:rsid w:val="00C129AF"/>
    <w:rsid w:val="00C1512E"/>
    <w:rsid w:val="00C20364"/>
    <w:rsid w:val="00C22F8A"/>
    <w:rsid w:val="00C34E48"/>
    <w:rsid w:val="00C50679"/>
    <w:rsid w:val="00C50B24"/>
    <w:rsid w:val="00C523E7"/>
    <w:rsid w:val="00C57444"/>
    <w:rsid w:val="00C60DFD"/>
    <w:rsid w:val="00C65AB5"/>
    <w:rsid w:val="00C72E0F"/>
    <w:rsid w:val="00C82260"/>
    <w:rsid w:val="00C8624A"/>
    <w:rsid w:val="00C93C94"/>
    <w:rsid w:val="00CA0636"/>
    <w:rsid w:val="00CA6CBB"/>
    <w:rsid w:val="00CB280F"/>
    <w:rsid w:val="00CB747E"/>
    <w:rsid w:val="00CC301C"/>
    <w:rsid w:val="00CD457E"/>
    <w:rsid w:val="00CD5C73"/>
    <w:rsid w:val="00CE1ACF"/>
    <w:rsid w:val="00CE4FF0"/>
    <w:rsid w:val="00CE78B2"/>
    <w:rsid w:val="00CF09D4"/>
    <w:rsid w:val="00CF09DE"/>
    <w:rsid w:val="00CF375A"/>
    <w:rsid w:val="00CF6835"/>
    <w:rsid w:val="00D2080F"/>
    <w:rsid w:val="00D31865"/>
    <w:rsid w:val="00D35638"/>
    <w:rsid w:val="00D4313E"/>
    <w:rsid w:val="00D465D4"/>
    <w:rsid w:val="00D50DEA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4D72"/>
    <w:rsid w:val="00E50B45"/>
    <w:rsid w:val="00E54AC8"/>
    <w:rsid w:val="00E56833"/>
    <w:rsid w:val="00E601B6"/>
    <w:rsid w:val="00E72D52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268FA"/>
    <w:rsid w:val="00F313AD"/>
    <w:rsid w:val="00F342E5"/>
    <w:rsid w:val="00F37A63"/>
    <w:rsid w:val="00F4080E"/>
    <w:rsid w:val="00F42FDF"/>
    <w:rsid w:val="00F45137"/>
    <w:rsid w:val="00F4607E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93102"/>
    <w:rsid w:val="00FB0A1A"/>
    <w:rsid w:val="00FB2D99"/>
    <w:rsid w:val="00FC0B06"/>
    <w:rsid w:val="00FC2F40"/>
    <w:rsid w:val="00FD04F5"/>
    <w:rsid w:val="00FD2C7A"/>
    <w:rsid w:val="00FD422D"/>
    <w:rsid w:val="00FE1024"/>
    <w:rsid w:val="00FE1D3F"/>
    <w:rsid w:val="00FE3FE3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2B8E-6901-4BED-9569-A3701337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16</cp:revision>
  <cp:lastPrinted>2021-06-08T05:54:00Z</cp:lastPrinted>
  <dcterms:created xsi:type="dcterms:W3CDTF">2021-05-12T13:43:00Z</dcterms:created>
  <dcterms:modified xsi:type="dcterms:W3CDTF">2021-06-09T10:27:00Z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