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5" w:rsidRPr="00BC6D09" w:rsidRDefault="00311945" w:rsidP="00381727">
      <w:pPr>
        <w:pStyle w:val="3"/>
        <w:keepNext w:val="0"/>
        <w:shd w:val="clear" w:color="auto" w:fill="FFFFFF"/>
        <w:rPr>
          <w:rFonts w:eastAsia="Helvetica"/>
          <w:color w:val="000000" w:themeColor="text1"/>
          <w:sz w:val="24"/>
          <w:szCs w:val="24"/>
        </w:rPr>
      </w:pP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АНАЛІЗ РЕГУЛЯТОРНОГО ВПЛИВУ</w:t>
      </w:r>
    </w:p>
    <w:p w:rsidR="00311945" w:rsidRPr="00BC6D09" w:rsidRDefault="00311945" w:rsidP="00381727">
      <w:pPr>
        <w:pStyle w:val="3"/>
        <w:keepNext w:val="0"/>
        <w:shd w:val="clear" w:color="auto" w:fill="FFFFFF"/>
        <w:rPr>
          <w:rFonts w:eastAsia="Helvetic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проєкту</w:t>
      </w:r>
      <w:proofErr w:type="spellEnd"/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138"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розпорядження керівника Лисичанської міської військово-цивільної адміністрації </w:t>
      </w:r>
      <w:proofErr w:type="spellStart"/>
      <w:r w:rsidR="00D10138"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Сєвєродонецького</w:t>
      </w:r>
      <w:proofErr w:type="spellEnd"/>
      <w:r w:rsidR="00D10138"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району Луганської області</w:t>
      </w: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138"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«</w:t>
      </w: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Про встановлення </w:t>
      </w:r>
      <w:r w:rsidR="00B06E87">
        <w:rPr>
          <w:rFonts w:eastAsia="Helvetica"/>
          <w:color w:val="000000" w:themeColor="text1"/>
          <w:sz w:val="24"/>
          <w:szCs w:val="24"/>
          <w:shd w:val="clear" w:color="auto" w:fill="FFFFFF"/>
        </w:rPr>
        <w:t>туристичного збору</w:t>
      </w:r>
      <w:r w:rsidR="00D10138"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»</w:t>
      </w:r>
    </w:p>
    <w:p w:rsidR="00381727" w:rsidRPr="00BC6D09" w:rsidRDefault="00381727" w:rsidP="00381727">
      <w:pPr>
        <w:rPr>
          <w:color w:val="000000" w:themeColor="text1"/>
        </w:rPr>
      </w:pPr>
    </w:p>
    <w:p w:rsidR="00381727" w:rsidRPr="00BC6D09" w:rsidRDefault="00381727" w:rsidP="00381727">
      <w:pPr>
        <w:rPr>
          <w:color w:val="000000" w:themeColor="text1"/>
        </w:rPr>
      </w:pPr>
    </w:p>
    <w:p w:rsidR="00311945" w:rsidRPr="00BC6D09" w:rsidRDefault="00311945" w:rsidP="00381727">
      <w:pPr>
        <w:pStyle w:val="3"/>
        <w:keepNext w:val="0"/>
        <w:shd w:val="clear" w:color="auto" w:fill="FFFFFF"/>
        <w:rPr>
          <w:rFonts w:eastAsia="Helvetica"/>
          <w:color w:val="000000" w:themeColor="text1"/>
          <w:sz w:val="24"/>
          <w:szCs w:val="24"/>
        </w:rPr>
      </w:pP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I. Визначення проблеми</w:t>
      </w:r>
    </w:p>
    <w:p w:rsidR="00D10138" w:rsidRPr="00BC6D09" w:rsidRDefault="00D10138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Пунктом 6 частини першої статті 4 Закону України «Про військово-цивільні адміністрації» </w:t>
      </w:r>
      <w:r w:rsidR="00C40673" w:rsidRPr="00BC6D09">
        <w:rPr>
          <w:color w:val="000000" w:themeColor="text1"/>
          <w:sz w:val="24"/>
          <w:szCs w:val="24"/>
        </w:rPr>
        <w:t>до повноважень військово-цивільних адміністрацій віднесено встановлення ставок місцевих податків і зборів відповідно до</w:t>
      </w:r>
      <w:r w:rsidR="003E3FAF">
        <w:rPr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C40673" w:rsidRPr="00BC6D09">
          <w:rPr>
            <w:color w:val="000000" w:themeColor="text1"/>
            <w:sz w:val="24"/>
            <w:szCs w:val="24"/>
          </w:rPr>
          <w:t>Податкового кодексу України</w:t>
        </w:r>
      </w:hyperlink>
      <w:r w:rsidR="00C40673" w:rsidRPr="00BC6D09">
        <w:rPr>
          <w:color w:val="000000" w:themeColor="text1"/>
          <w:sz w:val="24"/>
          <w:szCs w:val="24"/>
        </w:rPr>
        <w:t>, якщо відсутнє рішення відповідної ради з цих питань.</w:t>
      </w:r>
    </w:p>
    <w:p w:rsidR="00311945" w:rsidRPr="00BC6D09" w:rsidRDefault="00311945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Відповідно до статті 10 Податкового кодексу України визначено перелік місцевих податків і зборів. Згідно зі статтею 12 Податкового кодексу України міські ради встановлюють місцеві податки і збори.</w:t>
      </w:r>
    </w:p>
    <w:p w:rsidR="00311945" w:rsidRPr="00BC6D09" w:rsidRDefault="00311945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Враховуючи положення Податкового Кодексу України та Закону України «Про </w:t>
      </w:r>
      <w:r w:rsidR="00C40673" w:rsidRPr="00BC6D09">
        <w:rPr>
          <w:color w:val="000000" w:themeColor="text1"/>
          <w:sz w:val="24"/>
          <w:szCs w:val="24"/>
        </w:rPr>
        <w:t>військово-цивільні адміністрації</w:t>
      </w:r>
      <w:r w:rsidRPr="00BC6D09">
        <w:rPr>
          <w:color w:val="000000" w:themeColor="text1"/>
          <w:sz w:val="24"/>
          <w:szCs w:val="24"/>
        </w:rPr>
        <w:t xml:space="preserve">», виникає необхідність встановлення на території </w:t>
      </w:r>
      <w:r w:rsidR="00BC6D09">
        <w:rPr>
          <w:color w:val="000000" w:themeColor="text1"/>
          <w:sz w:val="24"/>
          <w:szCs w:val="24"/>
        </w:rPr>
        <w:t xml:space="preserve">новоствореної </w:t>
      </w:r>
      <w:r w:rsidR="00C40673" w:rsidRPr="00BC6D09">
        <w:rPr>
          <w:color w:val="000000" w:themeColor="text1"/>
          <w:sz w:val="24"/>
          <w:szCs w:val="24"/>
        </w:rPr>
        <w:t>Лисичанської</w:t>
      </w:r>
      <w:r w:rsidRPr="00BC6D09">
        <w:rPr>
          <w:color w:val="000000" w:themeColor="text1"/>
          <w:sz w:val="24"/>
          <w:szCs w:val="24"/>
        </w:rPr>
        <w:t xml:space="preserve"> міської територіальної громади</w:t>
      </w:r>
      <w:r w:rsidR="00C40673" w:rsidRPr="00BC6D09">
        <w:rPr>
          <w:color w:val="000000" w:themeColor="text1"/>
          <w:sz w:val="24"/>
          <w:szCs w:val="24"/>
        </w:rPr>
        <w:t xml:space="preserve"> ставок</w:t>
      </w:r>
      <w:r w:rsidRPr="00BC6D09">
        <w:rPr>
          <w:color w:val="000000" w:themeColor="text1"/>
          <w:sz w:val="24"/>
          <w:szCs w:val="24"/>
        </w:rPr>
        <w:t xml:space="preserve"> </w:t>
      </w:r>
      <w:r w:rsidR="008B168E">
        <w:rPr>
          <w:color w:val="000000" w:themeColor="text1"/>
          <w:sz w:val="24"/>
          <w:szCs w:val="24"/>
        </w:rPr>
        <w:t>туристичного збору</w:t>
      </w:r>
      <w:bookmarkStart w:id="0" w:name="_GoBack"/>
      <w:bookmarkEnd w:id="0"/>
      <w:r w:rsidRPr="00BC6D09">
        <w:rPr>
          <w:color w:val="000000" w:themeColor="text1"/>
          <w:sz w:val="24"/>
          <w:szCs w:val="24"/>
        </w:rPr>
        <w:t>.</w:t>
      </w:r>
    </w:p>
    <w:p w:rsidR="00B06E87" w:rsidRDefault="00311945" w:rsidP="00B06E87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Проблемою є те, що в разі не встановлення </w:t>
      </w:r>
      <w:r w:rsidR="00C40673" w:rsidRPr="00BC6D09">
        <w:rPr>
          <w:color w:val="000000" w:themeColor="text1"/>
          <w:sz w:val="24"/>
          <w:szCs w:val="24"/>
        </w:rPr>
        <w:t>керівником міської військово-цивільної адміністрації ставок</w:t>
      </w:r>
      <w:r w:rsidRPr="00BC6D09">
        <w:rPr>
          <w:color w:val="000000" w:themeColor="text1"/>
          <w:sz w:val="24"/>
          <w:szCs w:val="24"/>
        </w:rPr>
        <w:t xml:space="preserve">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</w:t>
      </w:r>
      <w:r w:rsidR="00B06E87">
        <w:rPr>
          <w:rFonts w:eastAsia="Times New Roman"/>
          <w:color w:val="000000" w:themeColor="text1"/>
          <w:sz w:val="24"/>
          <w:szCs w:val="24"/>
        </w:rPr>
        <w:t>П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латниками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туристичного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збору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є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громадяни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України,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іноземці,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а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також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особи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без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громадянства,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які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прибувають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на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територію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адміністративно-територіальної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одиниці,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на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якій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діє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рішення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міської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ради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про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встановлення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туристичного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збору,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та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отримують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(споживають)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послуги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тимчасового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проживання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(ночівлі)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із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зобов’язанням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залишити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місце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перебування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в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зазначений</w:t>
      </w:r>
      <w:r w:rsidR="00B06E8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06E87" w:rsidRPr="00166CAA">
        <w:rPr>
          <w:rFonts w:eastAsia="Times New Roman"/>
          <w:color w:val="000000" w:themeColor="text1"/>
          <w:sz w:val="24"/>
          <w:szCs w:val="24"/>
        </w:rPr>
        <w:t>строк.</w:t>
      </w:r>
    </w:p>
    <w:p w:rsidR="00B06E87" w:rsidRPr="00166CAA" w:rsidRDefault="00B06E87" w:rsidP="00B06E87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Враховуючи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вимоги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статті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12.3.4.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Податкового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кодексу</w:t>
      </w:r>
      <w:r>
        <w:rPr>
          <w:rFonts w:eastAsia="Times New Roman"/>
          <w:color w:val="000000" w:themeColor="text1"/>
          <w:sz w:val="24"/>
          <w:szCs w:val="24"/>
        </w:rPr>
        <w:t xml:space="preserve"> України </w:t>
      </w:r>
      <w:r w:rsidRPr="00166CAA">
        <w:rPr>
          <w:rFonts w:eastAsia="Times New Roman"/>
          <w:color w:val="000000" w:themeColor="text1"/>
          <w:sz w:val="24"/>
          <w:szCs w:val="24"/>
        </w:rPr>
        <w:t>рішення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офіційно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оприлюднюється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відповідним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органом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самоврядування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01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липня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року,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що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передує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бюджетному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періоду,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якому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планується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застосовування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встановлюваних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або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змін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(плановий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період).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Тобто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для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туристичного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урахуванням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змін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ст.268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Податкового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Кодексу,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20</w:t>
      </w:r>
      <w:r>
        <w:rPr>
          <w:rFonts w:eastAsia="Times New Roman"/>
          <w:color w:val="000000" w:themeColor="text1"/>
          <w:sz w:val="24"/>
          <w:szCs w:val="24"/>
        </w:rPr>
        <w:t xml:space="preserve">21 </w:t>
      </w:r>
      <w:r w:rsidRPr="00166CAA">
        <w:rPr>
          <w:rFonts w:eastAsia="Times New Roman"/>
          <w:color w:val="000000" w:themeColor="text1"/>
          <w:sz w:val="24"/>
          <w:szCs w:val="24"/>
        </w:rPr>
        <w:t>року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необхідно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проведення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регуляторної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процедури.</w:t>
      </w:r>
    </w:p>
    <w:p w:rsidR="002E087F" w:rsidRPr="00BC6D09" w:rsidRDefault="002E087F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Крім цього, варто зазначити, що </w:t>
      </w:r>
      <w:r w:rsidR="00C40673" w:rsidRPr="00BC6D09">
        <w:rPr>
          <w:color w:val="000000" w:themeColor="text1"/>
          <w:sz w:val="24"/>
          <w:szCs w:val="24"/>
        </w:rPr>
        <w:t>19</w:t>
      </w:r>
      <w:r w:rsidRPr="00BC6D09">
        <w:rPr>
          <w:color w:val="000000" w:themeColor="text1"/>
          <w:sz w:val="24"/>
          <w:szCs w:val="24"/>
        </w:rPr>
        <w:t>.</w:t>
      </w:r>
      <w:r w:rsidR="00AB31CE" w:rsidRPr="00BC6D09">
        <w:rPr>
          <w:color w:val="000000" w:themeColor="text1"/>
          <w:sz w:val="24"/>
          <w:szCs w:val="24"/>
        </w:rPr>
        <w:t>0</w:t>
      </w:r>
      <w:r w:rsidR="00C40673" w:rsidRPr="00BC6D09">
        <w:rPr>
          <w:color w:val="000000" w:themeColor="text1"/>
          <w:sz w:val="24"/>
          <w:szCs w:val="24"/>
        </w:rPr>
        <w:t>2</w:t>
      </w:r>
      <w:r w:rsidRPr="00BC6D09">
        <w:rPr>
          <w:color w:val="000000" w:themeColor="text1"/>
          <w:sz w:val="24"/>
          <w:szCs w:val="24"/>
        </w:rPr>
        <w:t>.20</w:t>
      </w:r>
      <w:r w:rsidR="00C40673" w:rsidRPr="00BC6D09">
        <w:rPr>
          <w:color w:val="000000" w:themeColor="text1"/>
          <w:sz w:val="24"/>
          <w:szCs w:val="24"/>
        </w:rPr>
        <w:t>21</w:t>
      </w:r>
      <w:r w:rsidRPr="00BC6D09">
        <w:rPr>
          <w:color w:val="000000" w:themeColor="text1"/>
          <w:sz w:val="24"/>
          <w:szCs w:val="24"/>
        </w:rPr>
        <w:t xml:space="preserve"> року </w:t>
      </w:r>
      <w:r w:rsidR="00C40673" w:rsidRPr="00BC6D09">
        <w:rPr>
          <w:color w:val="000000" w:themeColor="text1"/>
          <w:sz w:val="24"/>
          <w:szCs w:val="24"/>
        </w:rPr>
        <w:t xml:space="preserve">Указом Президента України № 62/2021 </w:t>
      </w:r>
      <w:hyperlink r:id="rId9" w:anchor="Text" w:history="1">
        <w:r w:rsidR="00C40673" w:rsidRPr="00BC6D09">
          <w:rPr>
            <w:color w:val="000000" w:themeColor="text1"/>
            <w:sz w:val="24"/>
            <w:szCs w:val="24"/>
          </w:rPr>
          <w:t>«Про утворення та реорганізацію військово-цивільних адміністрацій у Луганській області»</w:t>
        </w:r>
      </w:hyperlink>
      <w:r w:rsidR="00C40673" w:rsidRPr="00BC6D09">
        <w:rPr>
          <w:color w:val="000000" w:themeColor="text1"/>
          <w:sz w:val="24"/>
          <w:szCs w:val="24"/>
        </w:rPr>
        <w:t xml:space="preserve"> </w:t>
      </w:r>
      <w:r w:rsidRPr="00BC6D09">
        <w:rPr>
          <w:color w:val="000000" w:themeColor="text1"/>
          <w:sz w:val="24"/>
          <w:szCs w:val="24"/>
        </w:rPr>
        <w:t xml:space="preserve">було створено </w:t>
      </w:r>
      <w:r w:rsidR="00C40673" w:rsidRPr="00BC6D09">
        <w:rPr>
          <w:color w:val="000000" w:themeColor="text1"/>
          <w:sz w:val="24"/>
          <w:szCs w:val="24"/>
        </w:rPr>
        <w:t>Лисичанську</w:t>
      </w:r>
      <w:r w:rsidR="00AB31CE" w:rsidRPr="00BC6D09">
        <w:rPr>
          <w:color w:val="000000" w:themeColor="text1"/>
          <w:sz w:val="24"/>
          <w:szCs w:val="24"/>
        </w:rPr>
        <w:t xml:space="preserve"> міську </w:t>
      </w:r>
      <w:r w:rsidRPr="00BC6D09">
        <w:rPr>
          <w:color w:val="000000" w:themeColor="text1"/>
          <w:sz w:val="24"/>
          <w:szCs w:val="24"/>
        </w:rPr>
        <w:t xml:space="preserve">територіальну громаду </w:t>
      </w:r>
      <w:proofErr w:type="spellStart"/>
      <w:r w:rsidR="00C40673" w:rsidRPr="00BC6D09">
        <w:rPr>
          <w:color w:val="000000" w:themeColor="text1"/>
          <w:sz w:val="24"/>
          <w:szCs w:val="24"/>
        </w:rPr>
        <w:t>Сєвєродонецького</w:t>
      </w:r>
      <w:proofErr w:type="spellEnd"/>
      <w:r w:rsidR="00C40673" w:rsidRPr="00BC6D09">
        <w:rPr>
          <w:color w:val="000000" w:themeColor="text1"/>
          <w:sz w:val="24"/>
          <w:szCs w:val="24"/>
        </w:rPr>
        <w:t xml:space="preserve"> району Луганської області </w:t>
      </w:r>
      <w:r w:rsidRPr="00BC6D09">
        <w:rPr>
          <w:color w:val="000000" w:themeColor="text1"/>
          <w:sz w:val="24"/>
          <w:szCs w:val="24"/>
        </w:rPr>
        <w:t xml:space="preserve">шляхом приєднання </w:t>
      </w:r>
      <w:r w:rsidR="00C40673" w:rsidRPr="00BC6D09">
        <w:rPr>
          <w:color w:val="000000" w:themeColor="text1"/>
          <w:sz w:val="24"/>
          <w:szCs w:val="24"/>
        </w:rPr>
        <w:t>військово-цивільної адміністрації міста Лисичанськ Луганської області</w:t>
      </w:r>
      <w:r w:rsidRPr="00BC6D09">
        <w:rPr>
          <w:color w:val="000000" w:themeColor="text1"/>
          <w:sz w:val="24"/>
          <w:szCs w:val="24"/>
        </w:rPr>
        <w:t xml:space="preserve">, отже, є необхідність встановлення </w:t>
      </w:r>
      <w:r w:rsidR="00B06E87">
        <w:rPr>
          <w:color w:val="000000" w:themeColor="text1"/>
          <w:sz w:val="24"/>
          <w:szCs w:val="24"/>
        </w:rPr>
        <w:t>туристичного збору</w:t>
      </w:r>
      <w:r w:rsidRPr="00BC6D09">
        <w:rPr>
          <w:color w:val="000000" w:themeColor="text1"/>
          <w:sz w:val="24"/>
          <w:szCs w:val="24"/>
        </w:rPr>
        <w:t xml:space="preserve"> із врахуванням особливостей адміністративно-територіальних одиниць, що приєдналися.</w:t>
      </w:r>
    </w:p>
    <w:p w:rsidR="00311945" w:rsidRPr="00BC6D09" w:rsidRDefault="00311945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За даними звіту </w:t>
      </w:r>
      <w:r w:rsidR="00381727" w:rsidRPr="00BC6D09">
        <w:rPr>
          <w:color w:val="000000" w:themeColor="text1"/>
          <w:sz w:val="24"/>
          <w:szCs w:val="24"/>
        </w:rPr>
        <w:t>управління</w:t>
      </w:r>
      <w:r w:rsidRPr="00BC6D09">
        <w:rPr>
          <w:color w:val="000000" w:themeColor="text1"/>
          <w:sz w:val="24"/>
          <w:szCs w:val="24"/>
        </w:rPr>
        <w:t xml:space="preserve"> фінансів та бюджету </w:t>
      </w:r>
      <w:r w:rsidR="00381727" w:rsidRPr="00BC6D09">
        <w:rPr>
          <w:color w:val="000000" w:themeColor="text1"/>
          <w:sz w:val="24"/>
          <w:szCs w:val="24"/>
        </w:rPr>
        <w:t xml:space="preserve">військово-цивільної адміністрації міста Лисичанськ Луганської області </w:t>
      </w:r>
      <w:r w:rsidRPr="00BC6D09">
        <w:rPr>
          <w:color w:val="000000" w:themeColor="text1"/>
          <w:sz w:val="24"/>
          <w:szCs w:val="24"/>
        </w:rPr>
        <w:t xml:space="preserve">про виконання дохідної частини бюджету, платники </w:t>
      </w:r>
      <w:r w:rsidR="00B06E87">
        <w:rPr>
          <w:color w:val="000000" w:themeColor="text1"/>
          <w:sz w:val="24"/>
          <w:szCs w:val="24"/>
        </w:rPr>
        <w:t>туристичного збору</w:t>
      </w:r>
      <w:r w:rsidR="00381727" w:rsidRPr="00BC6D09">
        <w:rPr>
          <w:color w:val="000000" w:themeColor="text1"/>
          <w:sz w:val="24"/>
          <w:szCs w:val="24"/>
        </w:rPr>
        <w:t>, для яких ставки регулюються</w:t>
      </w:r>
      <w:r w:rsidR="00D94BD1" w:rsidRPr="00BC6D09">
        <w:rPr>
          <w:color w:val="000000" w:themeColor="text1"/>
          <w:sz w:val="24"/>
          <w:szCs w:val="24"/>
        </w:rPr>
        <w:t xml:space="preserve"> </w:t>
      </w:r>
      <w:r w:rsidRPr="00BC6D09">
        <w:rPr>
          <w:color w:val="000000" w:themeColor="text1"/>
          <w:sz w:val="24"/>
          <w:szCs w:val="24"/>
        </w:rPr>
        <w:t>рішенням міської ради, надходження склали в 20</w:t>
      </w:r>
      <w:r w:rsidR="00381727" w:rsidRPr="00BC6D09">
        <w:rPr>
          <w:color w:val="000000" w:themeColor="text1"/>
          <w:sz w:val="24"/>
          <w:szCs w:val="24"/>
        </w:rPr>
        <w:t>20</w:t>
      </w:r>
      <w:r w:rsidRPr="00BC6D09">
        <w:rPr>
          <w:color w:val="000000" w:themeColor="text1"/>
          <w:sz w:val="24"/>
          <w:szCs w:val="24"/>
        </w:rPr>
        <w:t xml:space="preserve"> році </w:t>
      </w:r>
      <w:r w:rsidR="00B06E87">
        <w:rPr>
          <w:color w:val="000000" w:themeColor="text1"/>
          <w:sz w:val="24"/>
          <w:szCs w:val="24"/>
        </w:rPr>
        <w:t>5 169,27</w:t>
      </w:r>
      <w:r w:rsidR="00381727" w:rsidRPr="00BC6D09">
        <w:rPr>
          <w:color w:val="000000" w:themeColor="text1"/>
          <w:sz w:val="24"/>
          <w:szCs w:val="24"/>
        </w:rPr>
        <w:t xml:space="preserve"> грн</w:t>
      </w:r>
      <w:r w:rsidRPr="00BC6D09">
        <w:rPr>
          <w:color w:val="000000" w:themeColor="text1"/>
          <w:sz w:val="24"/>
          <w:szCs w:val="24"/>
        </w:rPr>
        <w:t>.</w:t>
      </w:r>
    </w:p>
    <w:p w:rsidR="00381727" w:rsidRPr="00BC6D09" w:rsidRDefault="00381727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381727">
      <w:pPr>
        <w:pStyle w:val="a6"/>
        <w:shd w:val="clear" w:color="auto" w:fill="FFFFFF"/>
        <w:spacing w:before="0" w:after="0" w:line="240" w:lineRule="auto"/>
        <w:jc w:val="center"/>
        <w:rPr>
          <w:rFonts w:eastAsia="Helvetica"/>
          <w:color w:val="000000" w:themeColor="text1"/>
        </w:rPr>
      </w:pPr>
      <w:r w:rsidRPr="00BC6D09">
        <w:rPr>
          <w:rStyle w:val="a3"/>
          <w:rFonts w:eastAsia="Helvetica"/>
          <w:color w:val="000000" w:themeColor="text1"/>
          <w:shd w:val="clear" w:color="auto" w:fill="FFFFFF"/>
        </w:rPr>
        <w:t>Основні групи, на які зазначена проблема справляє вплив: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9"/>
        <w:gridCol w:w="673"/>
        <w:gridCol w:w="442"/>
        <w:gridCol w:w="19"/>
      </w:tblGrid>
      <w:tr w:rsidR="00BC6D09" w:rsidRPr="00BC6D09" w:rsidTr="00381727">
        <w:trPr>
          <w:trHeight w:val="20"/>
          <w:jc w:val="center"/>
        </w:trPr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Групи (підгрупи)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Так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tabs>
                <w:tab w:val="left" w:pos="6300"/>
              </w:tabs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Ні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BC6D09" w:rsidRPr="00BC6D09" w:rsidTr="00381727">
        <w:trPr>
          <w:trHeight w:val="20"/>
          <w:jc w:val="center"/>
        </w:trPr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Громадяни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tabs>
                <w:tab w:val="left" w:pos="5527"/>
                <w:tab w:val="left" w:pos="7560"/>
                <w:tab w:val="left" w:pos="7840"/>
              </w:tabs>
              <w:spacing w:before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BC6D09" w:rsidRPr="00BC6D09" w:rsidTr="00381727">
        <w:trPr>
          <w:trHeight w:val="20"/>
          <w:jc w:val="center"/>
        </w:trPr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Держава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tabs>
                <w:tab w:val="left" w:pos="280"/>
                <w:tab w:val="left" w:pos="964"/>
                <w:tab w:val="left" w:pos="2520"/>
              </w:tabs>
              <w:spacing w:before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BC6D09" w:rsidRPr="00BC6D09" w:rsidTr="00381727">
        <w:trPr>
          <w:trHeight w:val="20"/>
          <w:jc w:val="center"/>
        </w:trPr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Суб'єкти господарювання,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rFonts w:eastAsia="Helvetica"/>
                <w:color w:val="000000" w:themeColor="text1"/>
              </w:rPr>
            </w:pPr>
          </w:p>
        </w:tc>
      </w:tr>
      <w:tr w:rsidR="00BC6D09" w:rsidRPr="00BC6D09" w:rsidTr="00381727">
        <w:trPr>
          <w:trHeight w:val="20"/>
          <w:jc w:val="center"/>
        </w:trPr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у тому числі суб'єкти малого підприємництва*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45" w:rsidRPr="00BC6D09" w:rsidRDefault="00311945" w:rsidP="00381727">
            <w:pPr>
              <w:pStyle w:val="a6"/>
              <w:spacing w:before="0" w:after="0" w:line="240" w:lineRule="auto"/>
              <w:jc w:val="center"/>
              <w:rPr>
                <w:rFonts w:eastAsia="Helvetica"/>
                <w:color w:val="000000" w:themeColor="text1"/>
              </w:rPr>
            </w:pPr>
          </w:p>
        </w:tc>
      </w:tr>
    </w:tbl>
    <w:p w:rsidR="00036CC2" w:rsidRPr="00BC6D09" w:rsidRDefault="00036CC2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B06E87" w:rsidRPr="00166CAA" w:rsidRDefault="00B06E87" w:rsidP="00B06E8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66CAA">
        <w:rPr>
          <w:color w:val="000000" w:themeColor="text1"/>
          <w:sz w:val="24"/>
          <w:szCs w:val="24"/>
        </w:rPr>
        <w:t>Відповідно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до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чинного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законодавства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повноваження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щодо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встановлення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місцевих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податків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і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зборів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є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виключною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компетенцією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органів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місцевого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самоврядування.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lastRenderedPageBreak/>
        <w:t>Застосування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регуляторної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процедури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не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має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альтернативи,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проблема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встановлення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туристичного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збору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не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може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бути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розв’язана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за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допомогою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ринкових</w:t>
      </w:r>
      <w:r w:rsidRPr="00B06E87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механізмів.</w:t>
      </w:r>
    </w:p>
    <w:p w:rsidR="00381727" w:rsidRPr="00BC6D09" w:rsidRDefault="00381727" w:rsidP="00381727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381727">
      <w:pPr>
        <w:pStyle w:val="a6"/>
        <w:shd w:val="clear" w:color="auto" w:fill="FFFFFF"/>
        <w:spacing w:before="0" w:after="0" w:line="240" w:lineRule="auto"/>
        <w:jc w:val="center"/>
        <w:rPr>
          <w:rFonts w:eastAsia="Helvetica"/>
          <w:color w:val="000000" w:themeColor="text1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II. Цілі державного регулювання</w:t>
      </w:r>
    </w:p>
    <w:p w:rsidR="003E3FAF" w:rsidRPr="00166CAA" w:rsidRDefault="003E3FAF" w:rsidP="003E3FAF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66CAA">
        <w:rPr>
          <w:color w:val="000000" w:themeColor="text1"/>
          <w:sz w:val="24"/>
          <w:szCs w:val="24"/>
        </w:rPr>
        <w:t>Метою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регуляторного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акта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є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встановлення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ставки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туристичного </w:t>
      </w:r>
      <w:r w:rsidRPr="00166CAA">
        <w:rPr>
          <w:color w:val="000000" w:themeColor="text1"/>
          <w:sz w:val="24"/>
          <w:szCs w:val="24"/>
        </w:rPr>
        <w:t>збору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на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території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Лисичанської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міської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територіальної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громади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01.01.</w:t>
      </w:r>
      <w:r w:rsidRPr="00166CAA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2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оку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відповідно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до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вимог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Кодексу.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Проект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розпорядження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керівника Лисичанської міської військово-цивільної адміністрації </w:t>
      </w:r>
      <w:proofErr w:type="spellStart"/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Сєвєродонецького</w:t>
      </w:r>
      <w:proofErr w:type="spellEnd"/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району Луганської області «Про встановлення </w:t>
      </w:r>
      <w:r>
        <w:rPr>
          <w:rFonts w:eastAsia="Helvetica"/>
          <w:color w:val="000000" w:themeColor="text1"/>
          <w:sz w:val="24"/>
          <w:szCs w:val="24"/>
          <w:shd w:val="clear" w:color="auto" w:fill="FFFFFF"/>
        </w:rPr>
        <w:t>туристичного збору</w:t>
      </w:r>
      <w:r w:rsidRPr="00BC6D09">
        <w:rPr>
          <w:rFonts w:eastAsia="Helvetica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66CAA">
        <w:rPr>
          <w:color w:val="000000" w:themeColor="text1"/>
          <w:sz w:val="24"/>
          <w:szCs w:val="24"/>
        </w:rPr>
        <w:t>спрямований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на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розв’язання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завдань,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визначеного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попередньому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розділі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аналізу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регуляторного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впливу.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Цілями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державного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регулювання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є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встановлення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ставки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збору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на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території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Лисичанської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міської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територіальної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громади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Pr="003E3F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01.01.</w:t>
      </w:r>
      <w:r w:rsidRPr="00166CAA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2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відповідно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до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вимог</w:t>
      </w:r>
      <w:r w:rsidRPr="003E3FAF">
        <w:rPr>
          <w:color w:val="000000" w:themeColor="text1"/>
          <w:sz w:val="24"/>
          <w:szCs w:val="24"/>
        </w:rPr>
        <w:t xml:space="preserve"> </w:t>
      </w:r>
      <w:r w:rsidRPr="00166CAA">
        <w:rPr>
          <w:color w:val="000000" w:themeColor="text1"/>
          <w:sz w:val="24"/>
          <w:szCs w:val="24"/>
        </w:rPr>
        <w:t>Кодексу.</w:t>
      </w:r>
    </w:p>
    <w:p w:rsidR="002D678B" w:rsidRPr="00BC6D09" w:rsidRDefault="002D678B" w:rsidP="00D94BD1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F16DA" w:rsidRPr="00BC6D09" w:rsidRDefault="001F16DA" w:rsidP="002D678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III. Визначення та оцінка альтернативних способів досягнення цілей</w:t>
      </w:r>
    </w:p>
    <w:p w:rsidR="001F16DA" w:rsidRPr="00BC6D09" w:rsidRDefault="001F16DA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1. Визначення альтернативних способів</w:t>
      </w:r>
    </w:p>
    <w:p w:rsidR="002D678B" w:rsidRPr="00BC6D09" w:rsidRDefault="002D678B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920"/>
      </w:tblGrid>
      <w:tr w:rsidR="00BC6D09" w:rsidRPr="00BC6D09" w:rsidTr="002D678B">
        <w:trPr>
          <w:trHeight w:val="20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EBA" w:rsidRPr="00BC6D09" w:rsidRDefault="001F16DA" w:rsidP="002D678B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Вид альтернативи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5EBA" w:rsidRPr="00BC6D09" w:rsidRDefault="001F16DA" w:rsidP="002D678B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Опис альтернативи</w:t>
            </w:r>
          </w:p>
        </w:tc>
      </w:tr>
      <w:tr w:rsidR="003E3FAF" w:rsidRPr="00BC6D09" w:rsidTr="002D678B">
        <w:trPr>
          <w:trHeight w:val="20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FAF" w:rsidRPr="003E3FAF" w:rsidRDefault="003E3FAF" w:rsidP="003E3FAF">
            <w:pPr>
              <w:pStyle w:val="a7"/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E3FAF">
              <w:rPr>
                <w:b/>
                <w:color w:val="000000" w:themeColor="text1"/>
                <w:sz w:val="24"/>
                <w:szCs w:val="24"/>
              </w:rPr>
              <w:t>Альтернатива 1</w:t>
            </w:r>
          </w:p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Не прийняття регуляторного акта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Ця альтернатива не може бути прийнятою для органів місцевого самоврядування, оскільки буде не дотримана вимога до п.12.4.1. ст.12 Податкового кодексу України</w:t>
            </w:r>
          </w:p>
        </w:tc>
      </w:tr>
      <w:tr w:rsidR="003E3FAF" w:rsidRPr="00BC6D09" w:rsidTr="002D678B">
        <w:trPr>
          <w:trHeight w:val="20"/>
          <w:jc w:val="center"/>
        </w:trPr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FAF" w:rsidRPr="003E3FAF" w:rsidRDefault="003E3FAF" w:rsidP="003E3FAF">
            <w:pPr>
              <w:pStyle w:val="a7"/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E3FAF">
              <w:rPr>
                <w:b/>
                <w:color w:val="000000" w:themeColor="text1"/>
                <w:sz w:val="24"/>
                <w:szCs w:val="24"/>
              </w:rPr>
              <w:t>Альтернатива 2</w:t>
            </w:r>
          </w:p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Прийняття регуляторного акта</w:t>
            </w:r>
          </w:p>
        </w:tc>
        <w:tc>
          <w:tcPr>
            <w:tcW w:w="3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Дотримання вимог податкового законодавства.</w:t>
            </w:r>
          </w:p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Забезпечення досягнення цілей державного регулювання.</w:t>
            </w:r>
          </w:p>
          <w:p w:rsidR="003E3FAF" w:rsidRPr="003E3FAF" w:rsidRDefault="003E3FAF" w:rsidP="003E3FA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E3FAF">
              <w:rPr>
                <w:color w:val="000000" w:themeColor="text1"/>
                <w:sz w:val="24"/>
                <w:szCs w:val="24"/>
              </w:rPr>
              <w:t>Врегулювання правовідносин суб’єкта господарювання і контролюючих органів у процесі справляння збору</w:t>
            </w:r>
          </w:p>
        </w:tc>
      </w:tr>
    </w:tbl>
    <w:p w:rsidR="002D678B" w:rsidRPr="00BC6D09" w:rsidRDefault="002D678B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F16DA" w:rsidRPr="00BC6D09" w:rsidRDefault="001F16DA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2. Оцінка вибраних альтернативних способів досягнення цілей</w:t>
      </w:r>
    </w:p>
    <w:p w:rsidR="002D678B" w:rsidRPr="00BC6D09" w:rsidRDefault="002D678B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F16DA" w:rsidRPr="00BC6D09" w:rsidRDefault="001F16DA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Опис виг</w:t>
      </w:r>
      <w:r w:rsidR="003513FA" w:rsidRPr="00BC6D09">
        <w:rPr>
          <w:color w:val="000000" w:themeColor="text1"/>
          <w:sz w:val="24"/>
          <w:szCs w:val="24"/>
        </w:rPr>
        <w:t>і</w:t>
      </w:r>
      <w:r w:rsidRPr="00BC6D09">
        <w:rPr>
          <w:color w:val="000000" w:themeColor="text1"/>
          <w:sz w:val="24"/>
          <w:szCs w:val="24"/>
        </w:rPr>
        <w:t>д та витрат за кожною альтернативою для сфер інтересів держави, громадян та суб'єктів господарювання.</w:t>
      </w:r>
    </w:p>
    <w:p w:rsidR="003513FA" w:rsidRDefault="003513FA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E3FAF" w:rsidRDefault="003E3FAF" w:rsidP="003E3FA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Оцінка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впливу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на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сферу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інтересів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держави</w:t>
      </w:r>
    </w:p>
    <w:p w:rsidR="003E3FAF" w:rsidRPr="003E3FAF" w:rsidRDefault="003E3FAF" w:rsidP="003E3FAF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889"/>
        <w:gridCol w:w="2880"/>
      </w:tblGrid>
      <w:tr w:rsidR="003E3FAF" w:rsidTr="003E3FAF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3E3FAF" w:rsidRDefault="003E3FAF" w:rsidP="003E3FA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3FAF">
              <w:rPr>
                <w:rFonts w:eastAsia="Times New Roman"/>
                <w:color w:val="000000" w:themeColor="text1"/>
                <w:sz w:val="24"/>
                <w:szCs w:val="24"/>
              </w:rPr>
              <w:t>Вид альтернативи</w:t>
            </w:r>
          </w:p>
        </w:tc>
        <w:tc>
          <w:tcPr>
            <w:tcW w:w="3889" w:type="dxa"/>
            <w:vAlign w:val="center"/>
          </w:tcPr>
          <w:p w:rsidR="003E3FAF" w:rsidRPr="003E3FAF" w:rsidRDefault="003E3FAF" w:rsidP="003E3FA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3FAF">
              <w:rPr>
                <w:rFonts w:eastAsia="Times New Roman"/>
                <w:color w:val="000000" w:themeColor="text1"/>
                <w:sz w:val="24"/>
                <w:szCs w:val="24"/>
              </w:rPr>
              <w:t>Вигоди</w:t>
            </w:r>
          </w:p>
        </w:tc>
        <w:tc>
          <w:tcPr>
            <w:tcW w:w="0" w:type="auto"/>
            <w:vAlign w:val="center"/>
          </w:tcPr>
          <w:p w:rsidR="003E3FAF" w:rsidRPr="003E3FAF" w:rsidRDefault="003E3FAF" w:rsidP="003E3FA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E3FAF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</w:p>
        </w:tc>
      </w:tr>
      <w:tr w:rsidR="003E3FAF" w:rsidTr="003E3FAF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3E3FAF" w:rsidRDefault="003E3FAF" w:rsidP="003E3FAF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E3FA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Альтернатива 1</w:t>
            </w:r>
          </w:p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889" w:type="dxa"/>
            <w:vAlign w:val="center"/>
          </w:tcPr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  <w:tc>
          <w:tcPr>
            <w:tcW w:w="0" w:type="auto"/>
            <w:vAlign w:val="center"/>
          </w:tcPr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</w:tr>
      <w:tr w:rsidR="003E3FAF" w:rsidTr="003E3FAF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889" w:type="dxa"/>
            <w:vAlign w:val="center"/>
          </w:tcPr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Ухвалення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нормативного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місцевого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самоврядування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встановлення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місцевих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відповідно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Кодексу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рекомендацій</w:t>
            </w:r>
          </w:p>
        </w:tc>
        <w:tc>
          <w:tcPr>
            <w:tcW w:w="0" w:type="auto"/>
            <w:vAlign w:val="center"/>
          </w:tcPr>
          <w:p w:rsidR="003E3FAF" w:rsidRPr="00166CAA" w:rsidRDefault="003E3FAF" w:rsidP="003E3FA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часу,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фіскальних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адміністрування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</w:p>
        </w:tc>
      </w:tr>
    </w:tbl>
    <w:p w:rsidR="003E3FAF" w:rsidRPr="003E3FAF" w:rsidRDefault="003E3FAF" w:rsidP="003E3FAF">
      <w:pPr>
        <w:pStyle w:val="a7"/>
        <w:spacing w:after="0"/>
        <w:jc w:val="both"/>
        <w:rPr>
          <w:color w:val="000000" w:themeColor="text1"/>
          <w:sz w:val="24"/>
          <w:szCs w:val="24"/>
        </w:rPr>
      </w:pPr>
    </w:p>
    <w:p w:rsidR="003E3FAF" w:rsidRDefault="003E3FAF" w:rsidP="003E3FA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Оцінка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впливу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на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сферу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інтересів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громадян</w:t>
      </w:r>
    </w:p>
    <w:p w:rsidR="003E3FAF" w:rsidRPr="003E3FAF" w:rsidRDefault="003E3FAF" w:rsidP="003E3FAF">
      <w:pPr>
        <w:pStyle w:val="a7"/>
        <w:spacing w:after="0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76"/>
        <w:gridCol w:w="3193"/>
      </w:tblGrid>
      <w:tr w:rsidR="003E3FAF" w:rsidTr="00E079D4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166CAA" w:rsidRDefault="003E3FAF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альтернативи</w:t>
            </w:r>
          </w:p>
        </w:tc>
        <w:tc>
          <w:tcPr>
            <w:tcW w:w="3576" w:type="dxa"/>
            <w:vAlign w:val="center"/>
          </w:tcPr>
          <w:p w:rsidR="003E3FAF" w:rsidRPr="00166CAA" w:rsidRDefault="003E3FAF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Вигоди</w:t>
            </w:r>
          </w:p>
        </w:tc>
        <w:tc>
          <w:tcPr>
            <w:tcW w:w="0" w:type="auto"/>
            <w:vAlign w:val="center"/>
          </w:tcPr>
          <w:p w:rsidR="003E3FAF" w:rsidRPr="00166CAA" w:rsidRDefault="003E3FAF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Витрати</w:t>
            </w:r>
          </w:p>
        </w:tc>
      </w:tr>
      <w:tr w:rsidR="003E3FAF" w:rsidTr="00E079D4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576" w:type="dxa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  <w:tc>
          <w:tcPr>
            <w:tcW w:w="0" w:type="auto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</w:tr>
      <w:tr w:rsidR="003E3FAF" w:rsidTr="00E079D4">
        <w:trPr>
          <w:trHeight w:val="20"/>
          <w:jc w:val="center"/>
        </w:trPr>
        <w:tc>
          <w:tcPr>
            <w:tcW w:w="3085" w:type="dxa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576" w:type="dxa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Надходження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бюджету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міста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сплати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можливо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спрямувати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вирішення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потреб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громади.</w:t>
            </w:r>
          </w:p>
        </w:tc>
        <w:tc>
          <w:tcPr>
            <w:tcW w:w="0" w:type="auto"/>
            <w:vAlign w:val="center"/>
          </w:tcPr>
          <w:p w:rsidR="003E3FAF" w:rsidRPr="00166CAA" w:rsidRDefault="003E3FAF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справляє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вплив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жителів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громади,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оскільки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вони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є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платниками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</w:p>
        </w:tc>
      </w:tr>
    </w:tbl>
    <w:p w:rsidR="003E3FAF" w:rsidRPr="003E3FAF" w:rsidRDefault="003E3FAF" w:rsidP="003E3FAF">
      <w:pPr>
        <w:pStyle w:val="a7"/>
        <w:spacing w:after="0"/>
        <w:jc w:val="both"/>
        <w:rPr>
          <w:color w:val="000000" w:themeColor="text1"/>
          <w:sz w:val="24"/>
          <w:szCs w:val="24"/>
        </w:rPr>
      </w:pPr>
    </w:p>
    <w:p w:rsidR="003E3FAF" w:rsidRDefault="003E3FAF" w:rsidP="003E3FA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Оцінка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впливу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на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сферу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інтересів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господарювання</w:t>
      </w:r>
    </w:p>
    <w:p w:rsidR="00E079D4" w:rsidRDefault="00E079D4" w:rsidP="003E3FA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714"/>
        <w:gridCol w:w="826"/>
        <w:gridCol w:w="522"/>
        <w:gridCol w:w="652"/>
        <w:gridCol w:w="622"/>
      </w:tblGrid>
      <w:tr w:rsidR="00E079D4" w:rsidRPr="00BC6D09" w:rsidTr="00E079D4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Показник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Великі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Середні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Малі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Мікро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Разом</w:t>
            </w:r>
          </w:p>
        </w:tc>
      </w:tr>
      <w:tr w:rsidR="00E079D4" w:rsidRPr="00BC6D09" w:rsidTr="00E079D4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79D4" w:rsidRPr="00BC6D09" w:rsidTr="00E079D4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9D4" w:rsidRPr="00BC6D09" w:rsidRDefault="00E079D4" w:rsidP="00F80ADF">
            <w:pPr>
              <w:pStyle w:val="a7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C6D09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079D4" w:rsidRDefault="00E079D4" w:rsidP="003E3FA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368"/>
        <w:gridCol w:w="3404"/>
        <w:gridCol w:w="3082"/>
      </w:tblGrid>
      <w:tr w:rsidR="00E079D4" w:rsidTr="00E079D4">
        <w:trPr>
          <w:trHeight w:val="20"/>
          <w:jc w:val="center"/>
        </w:trPr>
        <w:tc>
          <w:tcPr>
            <w:tcW w:w="1709" w:type="pct"/>
            <w:vAlign w:val="center"/>
          </w:tcPr>
          <w:p w:rsidR="00E079D4" w:rsidRPr="00166CAA" w:rsidRDefault="00E079D4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альтернативи</w:t>
            </w:r>
          </w:p>
        </w:tc>
        <w:tc>
          <w:tcPr>
            <w:tcW w:w="1727" w:type="pct"/>
            <w:vAlign w:val="center"/>
          </w:tcPr>
          <w:p w:rsidR="00E079D4" w:rsidRPr="00166CAA" w:rsidRDefault="00E079D4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Вигоди</w:t>
            </w:r>
          </w:p>
        </w:tc>
        <w:tc>
          <w:tcPr>
            <w:tcW w:w="1564" w:type="pct"/>
            <w:vAlign w:val="center"/>
          </w:tcPr>
          <w:p w:rsidR="00E079D4" w:rsidRPr="00166CAA" w:rsidRDefault="00E079D4" w:rsidP="00E079D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Витрати</w:t>
            </w:r>
          </w:p>
        </w:tc>
      </w:tr>
      <w:tr w:rsidR="00E079D4" w:rsidTr="00E079D4">
        <w:trPr>
          <w:trHeight w:val="20"/>
          <w:jc w:val="center"/>
        </w:trPr>
        <w:tc>
          <w:tcPr>
            <w:tcW w:w="1709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1727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Звітність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нарахуванню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сплаті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подається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контролюючого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органу</w:t>
            </w:r>
          </w:p>
        </w:tc>
        <w:tc>
          <w:tcPr>
            <w:tcW w:w="1564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</w:tr>
      <w:tr w:rsidR="00E079D4" w:rsidTr="00E079D4">
        <w:trPr>
          <w:trHeight w:val="20"/>
          <w:jc w:val="center"/>
        </w:trPr>
        <w:tc>
          <w:tcPr>
            <w:tcW w:w="1709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1727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Створення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прозорого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механізму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врегулювання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ставки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рамках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Податкового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кодексу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України</w:t>
            </w:r>
          </w:p>
        </w:tc>
        <w:tc>
          <w:tcPr>
            <w:tcW w:w="1564" w:type="pct"/>
            <w:vAlign w:val="center"/>
          </w:tcPr>
          <w:p w:rsidR="00E079D4" w:rsidRPr="00166CAA" w:rsidRDefault="00E079D4" w:rsidP="00E079D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платників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оформлення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документів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адміністрування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податку</w:t>
            </w:r>
          </w:p>
        </w:tc>
      </w:tr>
    </w:tbl>
    <w:p w:rsidR="00B90FAB" w:rsidRPr="00BC6D09" w:rsidRDefault="00B90FAB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F16DA" w:rsidRPr="00BC6D09" w:rsidRDefault="001F16DA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IV. Вибір найбільш оптимального альтернативного способу досягнення цілей</w:t>
      </w:r>
    </w:p>
    <w:p w:rsidR="00B90FAB" w:rsidRDefault="00B90FAB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6"/>
        <w:gridCol w:w="2528"/>
        <w:gridCol w:w="4650"/>
      </w:tblGrid>
      <w:tr w:rsidR="00F752EC" w:rsidRPr="00166CAA" w:rsidTr="00F752EC">
        <w:trPr>
          <w:trHeight w:val="20"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Рейтинг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результативності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(досягнення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цілей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під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час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вирішення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проблеми)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Бал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результативності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(за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чотирибальною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системою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оцінки)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Коментарі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присвоєння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відповідного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бала</w:t>
            </w:r>
          </w:p>
        </w:tc>
      </w:tr>
      <w:tr w:rsidR="00F752EC" w:rsidRPr="00166CAA" w:rsidTr="00F752EC">
        <w:trPr>
          <w:trHeight w:val="20"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Згідно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підпункту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12.3.5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пункту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12.3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статті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Податкового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кодексу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України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збір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як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такий,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є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обов’язковим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встановлення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органами місцевого самоврядування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буде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справлятись</w:t>
            </w:r>
          </w:p>
        </w:tc>
      </w:tr>
      <w:tr w:rsidR="00F752EC" w:rsidRPr="00166CAA" w:rsidTr="00F752EC">
        <w:trPr>
          <w:trHeight w:val="20"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Цей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відповідає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потребам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розв’язанні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визначеної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проблеми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принципам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державної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політики.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Затвердження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такого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забезпечить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дотримання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податкового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законодавства.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Необхідність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зумовлена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наявністю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території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громади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господарської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діяльності,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котрий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займається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готельним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бізнесом</w:t>
            </w:r>
          </w:p>
        </w:tc>
      </w:tr>
    </w:tbl>
    <w:p w:rsidR="00F752EC" w:rsidRPr="00166CAA" w:rsidRDefault="00F752EC" w:rsidP="00F752EC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3"/>
        <w:gridCol w:w="2464"/>
        <w:gridCol w:w="2246"/>
        <w:gridCol w:w="2961"/>
      </w:tblGrid>
      <w:tr w:rsidR="00F752EC" w:rsidRPr="00166CAA" w:rsidTr="00F752EC">
        <w:trPr>
          <w:trHeight w:val="20"/>
          <w:tblHeader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Рейтинг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результативності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Вигоди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(підсумок)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(підсумок)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Обґрунтування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відповідного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місця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рейтингу</w:t>
            </w:r>
          </w:p>
        </w:tc>
      </w:tr>
      <w:tr w:rsidR="00F752EC" w:rsidRPr="00166CAA" w:rsidTr="00F752EC">
        <w:trPr>
          <w:trHeight w:val="20"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Звітність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нарахуванню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сплаті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збору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подається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контролюючого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органу.</w:t>
            </w:r>
          </w:p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Особи,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які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будуть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отримувати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послуги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тимчасового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проживання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території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громади,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будуть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сплачувати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туристичний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збір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Дана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суперечить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вимогам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ПКУ</w:t>
            </w:r>
          </w:p>
        </w:tc>
      </w:tr>
      <w:tr w:rsidR="00F752EC" w:rsidRPr="00166CAA" w:rsidTr="00F752EC">
        <w:trPr>
          <w:trHeight w:val="20"/>
        </w:trPr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Врегулювання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правовідносин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господарювання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контролюючих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процесі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справляння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матеріальних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ресурсів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фіскальних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адміністрування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</w:t>
            </w:r>
          </w:p>
        </w:tc>
        <w:tc>
          <w:tcPr>
            <w:tcW w:w="0" w:type="auto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Цей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відповідає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потребам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розв’язанні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визначеної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проблеми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принципам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державної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політики.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Затвердження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такого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забезпечить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дотримання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податкового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законодавства</w:t>
            </w:r>
          </w:p>
        </w:tc>
      </w:tr>
    </w:tbl>
    <w:p w:rsidR="00F752EC" w:rsidRPr="00166CAA" w:rsidRDefault="00F752EC" w:rsidP="00F752EC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509"/>
      </w:tblGrid>
      <w:tr w:rsidR="00F752EC" w:rsidRPr="00166CAA" w:rsidTr="00F752EC">
        <w:trPr>
          <w:trHeight w:val="20"/>
        </w:trPr>
        <w:tc>
          <w:tcPr>
            <w:tcW w:w="2518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827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Аргументи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переваги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обраної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причини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відмови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альтернативи</w:t>
            </w:r>
          </w:p>
        </w:tc>
        <w:tc>
          <w:tcPr>
            <w:tcW w:w="3509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Оцінка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ризику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зовнішніх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чинників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дію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запропонованого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акта</w:t>
            </w:r>
          </w:p>
        </w:tc>
      </w:tr>
      <w:tr w:rsidR="00F752EC" w:rsidRPr="00166CAA" w:rsidTr="00F752EC">
        <w:trPr>
          <w:trHeight w:val="20"/>
        </w:trPr>
        <w:tc>
          <w:tcPr>
            <w:tcW w:w="2518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827" w:type="dxa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зазначеної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альтернативи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переваги,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оскільки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діє,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законодавчі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виконуються</w:t>
            </w:r>
          </w:p>
        </w:tc>
        <w:tc>
          <w:tcPr>
            <w:tcW w:w="3509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Відсутні</w:t>
            </w:r>
          </w:p>
        </w:tc>
      </w:tr>
      <w:tr w:rsidR="00F752EC" w:rsidRPr="00166CAA" w:rsidTr="00F752EC">
        <w:trPr>
          <w:trHeight w:val="20"/>
        </w:trPr>
        <w:tc>
          <w:tcPr>
            <w:tcW w:w="2518" w:type="dxa"/>
            <w:vAlign w:val="center"/>
            <w:hideMark/>
          </w:tcPr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Альтернатива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F752EC" w:rsidRPr="00166CAA" w:rsidRDefault="00F752EC" w:rsidP="00F752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Прийняття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регуляторного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3827" w:type="dxa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Найбільш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прийнятна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альтернатива,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оскільки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забезпечується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найвищий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рівень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надходжень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бюджету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громади</w:t>
            </w:r>
          </w:p>
        </w:tc>
        <w:tc>
          <w:tcPr>
            <w:tcW w:w="3509" w:type="dxa"/>
            <w:vAlign w:val="center"/>
            <w:hideMark/>
          </w:tcPr>
          <w:p w:rsidR="00F752EC" w:rsidRPr="00166CAA" w:rsidRDefault="00F752EC" w:rsidP="00F752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Зміни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Податковому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кодексі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України,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зменшення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кількості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платників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збору.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Політична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економічна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ситуація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країні</w:t>
            </w:r>
          </w:p>
        </w:tc>
      </w:tr>
    </w:tbl>
    <w:p w:rsidR="00F752EC" w:rsidRPr="00166CAA" w:rsidRDefault="00F752EC" w:rsidP="00F752EC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311945" w:rsidRPr="00BC6D09" w:rsidRDefault="00311945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V. Механізми та заходи, які забезпечать розв'язання визначеної проблеми</w:t>
      </w:r>
    </w:p>
    <w:p w:rsidR="00C67250" w:rsidRPr="00BC6D09" w:rsidRDefault="00C67250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53B1D" w:rsidRPr="00153B1D" w:rsidRDefault="00732F42" w:rsidP="00153B1D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1. Оприлюднення </w:t>
      </w:r>
      <w:proofErr w:type="spellStart"/>
      <w:r w:rsidRPr="00BC6D09">
        <w:rPr>
          <w:color w:val="000000" w:themeColor="text1"/>
          <w:sz w:val="24"/>
          <w:szCs w:val="24"/>
        </w:rPr>
        <w:t>проє</w:t>
      </w:r>
      <w:r w:rsidR="00311945" w:rsidRPr="00BC6D09">
        <w:rPr>
          <w:color w:val="000000" w:themeColor="text1"/>
          <w:sz w:val="24"/>
          <w:szCs w:val="24"/>
        </w:rPr>
        <w:t>кту</w:t>
      </w:r>
      <w:proofErr w:type="spellEnd"/>
      <w:r w:rsidR="00311945" w:rsidRPr="00BC6D09">
        <w:rPr>
          <w:color w:val="000000" w:themeColor="text1"/>
          <w:sz w:val="24"/>
          <w:szCs w:val="24"/>
        </w:rPr>
        <w:t xml:space="preserve"> р</w:t>
      </w:r>
      <w:r w:rsidR="009A638F" w:rsidRPr="00BC6D09">
        <w:rPr>
          <w:color w:val="000000" w:themeColor="text1"/>
          <w:sz w:val="24"/>
          <w:szCs w:val="24"/>
        </w:rPr>
        <w:t>озпорядження керівника Лисичанської міської ВЦА</w:t>
      </w:r>
      <w:r w:rsidR="00311945" w:rsidRPr="00BC6D09">
        <w:rPr>
          <w:color w:val="000000" w:themeColor="text1"/>
          <w:sz w:val="24"/>
          <w:szCs w:val="24"/>
        </w:rPr>
        <w:t xml:space="preserve"> «Про встановлення </w:t>
      </w:r>
      <w:r w:rsidR="00153B1D">
        <w:rPr>
          <w:color w:val="000000" w:themeColor="text1"/>
          <w:sz w:val="24"/>
          <w:szCs w:val="24"/>
        </w:rPr>
        <w:t>туристичного збору</w:t>
      </w:r>
      <w:r w:rsidR="00C67250" w:rsidRPr="00BC6D09">
        <w:rPr>
          <w:color w:val="000000" w:themeColor="text1"/>
          <w:sz w:val="24"/>
          <w:szCs w:val="24"/>
        </w:rPr>
        <w:t xml:space="preserve">»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разом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з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АРВ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з метою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отримання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пропозицій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та</w:t>
      </w:r>
      <w:r w:rsidR="00153B1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53B1D" w:rsidRPr="00166CAA">
        <w:rPr>
          <w:rFonts w:eastAsia="Times New Roman"/>
          <w:color w:val="000000" w:themeColor="text1"/>
          <w:sz w:val="24"/>
          <w:szCs w:val="24"/>
        </w:rPr>
        <w:t>зауважень;</w:t>
      </w:r>
    </w:p>
    <w:p w:rsidR="00153B1D" w:rsidRPr="00153B1D" w:rsidRDefault="00153B1D" w:rsidP="00153B1D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53B1D">
        <w:rPr>
          <w:color w:val="000000" w:themeColor="text1"/>
          <w:sz w:val="24"/>
          <w:szCs w:val="24"/>
        </w:rPr>
        <w:t>2. Отримання пропозицій по удосконаленню від Державної регуляторної служби України;</w:t>
      </w:r>
    </w:p>
    <w:p w:rsidR="00311945" w:rsidRDefault="00153B1D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11945" w:rsidRPr="00BC6D09">
        <w:rPr>
          <w:color w:val="000000" w:themeColor="text1"/>
          <w:sz w:val="24"/>
          <w:szCs w:val="24"/>
        </w:rPr>
        <w:t>.</w:t>
      </w:r>
      <w:r w:rsidR="00D94BD1" w:rsidRPr="00BC6D09">
        <w:rPr>
          <w:color w:val="000000" w:themeColor="text1"/>
          <w:sz w:val="24"/>
          <w:szCs w:val="24"/>
        </w:rPr>
        <w:t xml:space="preserve"> </w:t>
      </w:r>
      <w:r w:rsidR="00311945" w:rsidRPr="00BC6D09">
        <w:rPr>
          <w:color w:val="000000" w:themeColor="text1"/>
          <w:sz w:val="24"/>
          <w:szCs w:val="24"/>
        </w:rPr>
        <w:t xml:space="preserve">Встановлення </w:t>
      </w:r>
      <w:r>
        <w:rPr>
          <w:color w:val="000000" w:themeColor="text1"/>
          <w:sz w:val="24"/>
          <w:szCs w:val="24"/>
        </w:rPr>
        <w:t>туристичного збору;</w:t>
      </w:r>
    </w:p>
    <w:p w:rsidR="00153B1D" w:rsidRPr="00BC6D09" w:rsidRDefault="00153B1D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>
        <w:rPr>
          <w:rFonts w:eastAsia="Times New Roman"/>
          <w:color w:val="000000" w:themeColor="text1"/>
          <w:sz w:val="24"/>
          <w:szCs w:val="24"/>
        </w:rPr>
        <w:t>П</w:t>
      </w:r>
      <w:r w:rsidRPr="00166CAA">
        <w:rPr>
          <w:rFonts w:eastAsia="Times New Roman"/>
          <w:color w:val="000000" w:themeColor="text1"/>
          <w:sz w:val="24"/>
          <w:szCs w:val="24"/>
        </w:rPr>
        <w:t>роведення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заходів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відстеження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результативності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прийнятого</w:t>
      </w:r>
      <w:r>
        <w:rPr>
          <w:rFonts w:eastAsia="Times New Roman"/>
          <w:color w:val="000000" w:themeColor="text1"/>
          <w:sz w:val="24"/>
          <w:szCs w:val="24"/>
        </w:rPr>
        <w:t xml:space="preserve"> розпорядження</w:t>
      </w:r>
      <w:r w:rsidRPr="00166CAA">
        <w:rPr>
          <w:rFonts w:eastAsia="Times New Roman"/>
          <w:color w:val="000000" w:themeColor="text1"/>
          <w:sz w:val="24"/>
          <w:szCs w:val="24"/>
        </w:rPr>
        <w:t>.</w:t>
      </w: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67250" w:rsidRPr="00BC6D09" w:rsidRDefault="00C67250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153B1D" w:rsidRPr="00153B1D" w:rsidRDefault="00153B1D" w:rsidP="00153B1D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53B1D">
        <w:rPr>
          <w:color w:val="000000" w:themeColor="text1"/>
          <w:sz w:val="24"/>
          <w:szCs w:val="24"/>
        </w:rPr>
        <w:lastRenderedPageBreak/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процедури.</w:t>
      </w:r>
    </w:p>
    <w:p w:rsidR="00153B1D" w:rsidRPr="00153B1D" w:rsidRDefault="00153B1D" w:rsidP="00153B1D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53B1D">
        <w:rPr>
          <w:color w:val="000000" w:themeColor="text1"/>
          <w:sz w:val="24"/>
          <w:szCs w:val="24"/>
        </w:rPr>
        <w:t>Розрахунок витрат на запровадження державного регулювання для суб’єктів малого підприємництва (М-тест) наведено у додатку 4 до Методики проведення аналізу впливу регуляторного акта.</w:t>
      </w:r>
    </w:p>
    <w:p w:rsidR="00C67250" w:rsidRPr="00BC6D09" w:rsidRDefault="00C67250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VII. Обґрунтування запропонованого строку дії регуляторного акта</w:t>
      </w:r>
    </w:p>
    <w:p w:rsidR="00C67250" w:rsidRPr="00BC6D09" w:rsidRDefault="00C67250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На дію цього регуляторного акта негативно можуть вплинути економічна</w:t>
      </w:r>
      <w:r w:rsidR="00D94BD1" w:rsidRPr="00BC6D09">
        <w:rPr>
          <w:color w:val="000000" w:themeColor="text1"/>
          <w:sz w:val="24"/>
          <w:szCs w:val="24"/>
        </w:rPr>
        <w:t xml:space="preserve"> </w:t>
      </w:r>
      <w:r w:rsidRPr="00BC6D09">
        <w:rPr>
          <w:color w:val="000000" w:themeColor="text1"/>
          <w:sz w:val="24"/>
          <w:szCs w:val="24"/>
        </w:rPr>
        <w:t xml:space="preserve">криза, значні темпи інфляції, різке </w:t>
      </w:r>
      <w:r w:rsidR="00C67250" w:rsidRPr="00BC6D09">
        <w:rPr>
          <w:color w:val="000000" w:themeColor="text1"/>
          <w:sz w:val="24"/>
          <w:szCs w:val="24"/>
        </w:rPr>
        <w:t>зростання</w:t>
      </w:r>
      <w:r w:rsidRPr="00BC6D09">
        <w:rPr>
          <w:color w:val="000000" w:themeColor="text1"/>
          <w:sz w:val="24"/>
          <w:szCs w:val="24"/>
        </w:rPr>
        <w:t xml:space="preserve"> тарифів на енергоносії та продукти харчування 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Позитивно на дію цього регуляторного акта може вплинути економічна стабільність в країні та підвищення темпів росту ВВП. </w:t>
      </w:r>
      <w:r w:rsidR="00C67250" w:rsidRPr="00BC6D09">
        <w:rPr>
          <w:color w:val="000000" w:themeColor="text1"/>
          <w:sz w:val="24"/>
          <w:szCs w:val="24"/>
        </w:rPr>
        <w:t>Легалізація малого підприємництва</w:t>
      </w:r>
      <w:r w:rsidRPr="00BC6D09">
        <w:rPr>
          <w:color w:val="000000" w:themeColor="text1"/>
          <w:sz w:val="24"/>
          <w:szCs w:val="24"/>
        </w:rPr>
        <w:t xml:space="preserve"> сприятиме збільшенню надходжень до бюджетів усіх рівнів.</w:t>
      </w:r>
    </w:p>
    <w:p w:rsidR="00153B1D" w:rsidRPr="00166CAA" w:rsidRDefault="00153B1D" w:rsidP="00153B1D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Упровадження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виконання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вимог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проекту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рішення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потребує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забезпечення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ресурсами,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скільки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збір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є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новим.</w:t>
      </w:r>
    </w:p>
    <w:p w:rsidR="00153B1D" w:rsidRDefault="00153B1D" w:rsidP="00153B1D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Згідно вимог чинного законодавства строк дії запропонованого регуляторного акта необмежений. Зміни регуляторного акту можливі у разі зміни чинного законодавства чи в інших необхідних випадках.</w:t>
      </w:r>
    </w:p>
    <w:p w:rsidR="00C67250" w:rsidRPr="00BC6D09" w:rsidRDefault="00C67250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VIII. Визначення показників результативності</w:t>
      </w:r>
      <w:r w:rsidR="00C67250" w:rsidRPr="00BC6D09">
        <w:rPr>
          <w:rStyle w:val="a5"/>
          <w:rFonts w:eastAsia="Helvetica"/>
          <w:color w:val="000000" w:themeColor="text1"/>
          <w:shd w:val="clear" w:color="auto" w:fill="FFFFFF"/>
        </w:rPr>
        <w:t xml:space="preserve"> </w:t>
      </w: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дії регуляторного акта</w:t>
      </w:r>
    </w:p>
    <w:p w:rsidR="00C67250" w:rsidRPr="00E54CAF" w:rsidRDefault="00C67250" w:rsidP="002D678B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E54CAF" w:rsidRPr="00166CAA" w:rsidRDefault="00E54CAF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Виходячи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цілей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державного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регулювання,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визначених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другому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розділі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аналізу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регуляторного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впливу,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для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відстеження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результативності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цього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регуляторного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акта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обрано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такі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прогнозні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статистичні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показники:</w:t>
      </w:r>
    </w:p>
    <w:p w:rsidR="00E54CAF" w:rsidRPr="00166CAA" w:rsidRDefault="00E54CAF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кількість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господарювання,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яких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поширюється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дія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даного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регуляторного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акту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(кількість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платників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туристичного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збору),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(осіб);</w:t>
      </w:r>
    </w:p>
    <w:p w:rsidR="00E54CAF" w:rsidRPr="00166CAA" w:rsidRDefault="00E54CAF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загальні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надходження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бюджету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коштів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від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сплати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туристичного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(тис.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грн.);</w:t>
      </w:r>
    </w:p>
    <w:p w:rsidR="00E54CAF" w:rsidRPr="00166CAA" w:rsidRDefault="00E54CAF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час,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що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витрачатиметься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суб’єктами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господарювання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та/або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фізичними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особами,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пов’язаними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виконанням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вимог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акта,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години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1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166CAA">
        <w:rPr>
          <w:rFonts w:eastAsia="Times New Roman"/>
          <w:color w:val="000000" w:themeColor="text1"/>
          <w:sz w:val="24"/>
          <w:szCs w:val="24"/>
        </w:rPr>
        <w:t>суб</w:t>
      </w:r>
      <w:proofErr w:type="spellEnd"/>
      <w:r w:rsidRPr="00166CAA">
        <w:rPr>
          <w:rFonts w:eastAsia="Times New Roman"/>
          <w:color w:val="000000" w:themeColor="text1"/>
          <w:sz w:val="24"/>
          <w:szCs w:val="24"/>
        </w:rPr>
        <w:t>.;</w:t>
      </w:r>
    </w:p>
    <w:p w:rsidR="00E54CAF" w:rsidRPr="00166CAA" w:rsidRDefault="00E54CAF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рівень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поінформованості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господарювання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та/або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фізичних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осіб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основних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положень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акта,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%.</w:t>
      </w:r>
    </w:p>
    <w:p w:rsidR="00311945" w:rsidRPr="00E54CAF" w:rsidRDefault="00311945" w:rsidP="00E54CAF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311945" w:rsidRPr="00BC6D09" w:rsidRDefault="00311945" w:rsidP="00B90FAB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EB2AD5" w:rsidRPr="00BC6D09" w:rsidRDefault="00EB2AD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Базове відстеження результативності дії регуляторного акту здійснюватиметься до дати набрання чинності цього регуляторного акта.</w:t>
      </w:r>
    </w:p>
    <w:p w:rsidR="00AD7801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 xml:space="preserve">Повторне відстеження результативності </w:t>
      </w:r>
      <w:r w:rsidR="00AD7801" w:rsidRPr="00BC6D09">
        <w:rPr>
          <w:color w:val="000000" w:themeColor="text1"/>
          <w:sz w:val="24"/>
          <w:szCs w:val="24"/>
        </w:rPr>
        <w:t xml:space="preserve">регуляторного акту </w:t>
      </w:r>
      <w:r w:rsidRPr="00BC6D09">
        <w:rPr>
          <w:color w:val="000000" w:themeColor="text1"/>
          <w:sz w:val="24"/>
          <w:szCs w:val="24"/>
        </w:rPr>
        <w:t xml:space="preserve">буде здійснено </w:t>
      </w:r>
      <w:r w:rsidR="00AD7801" w:rsidRPr="00BC6D09">
        <w:rPr>
          <w:color w:val="000000" w:themeColor="text1"/>
          <w:sz w:val="24"/>
          <w:szCs w:val="24"/>
        </w:rPr>
        <w:t>через рік з дня набрання ним чинності, але не пізніше двох років з дня набрання чинності.</w:t>
      </w:r>
      <w:r w:rsidRPr="00BC6D09">
        <w:rPr>
          <w:color w:val="000000" w:themeColor="text1"/>
          <w:sz w:val="24"/>
          <w:szCs w:val="24"/>
        </w:rPr>
        <w:t xml:space="preserve"> </w:t>
      </w: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З огляду на показники результативності, визначені в попередньому розділі аналізу регуляторного впливу, відстеження буде проводитись за допомогою статистичного методу.</w:t>
      </w:r>
    </w:p>
    <w:p w:rsidR="00311945" w:rsidRPr="00BC6D09" w:rsidRDefault="00311945" w:rsidP="002D678B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t>У рамках зазначених методів відстеження буде проведено аналіз звітності про виконання дохідної частини бюджету в частині інформації щодо розміру надходжень до бюджету громади, кількості осіб, на як</w:t>
      </w:r>
      <w:r w:rsidR="00CA00B0">
        <w:rPr>
          <w:color w:val="000000" w:themeColor="text1"/>
          <w:sz w:val="24"/>
          <w:szCs w:val="24"/>
        </w:rPr>
        <w:t>их поширюватиметься дія акта</w:t>
      </w:r>
      <w:r w:rsidRPr="00BC6D09">
        <w:rPr>
          <w:color w:val="000000" w:themeColor="text1"/>
          <w:sz w:val="24"/>
          <w:szCs w:val="24"/>
        </w:rPr>
        <w:t>.</w:t>
      </w:r>
    </w:p>
    <w:p w:rsidR="00311945" w:rsidRPr="00BC6D09" w:rsidRDefault="00311945" w:rsidP="00EB2AD5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EB2AD5" w:rsidRPr="00BC6D09" w:rsidRDefault="00EB2AD5" w:rsidP="00EB2AD5">
      <w:pPr>
        <w:pStyle w:val="a7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C6D09">
        <w:rPr>
          <w:color w:val="000000" w:themeColor="text1"/>
          <w:sz w:val="24"/>
          <w:szCs w:val="24"/>
        </w:rPr>
        <w:br w:type="page"/>
      </w:r>
    </w:p>
    <w:p w:rsidR="00EB2AD5" w:rsidRPr="00BC6D09" w:rsidRDefault="00EB2AD5" w:rsidP="00EB2AD5">
      <w:pPr>
        <w:pStyle w:val="a7"/>
        <w:spacing w:after="0"/>
        <w:ind w:left="5387"/>
        <w:jc w:val="both"/>
        <w:rPr>
          <w:rFonts w:eastAsia="Helvetica"/>
          <w:color w:val="000000" w:themeColor="text1"/>
          <w:sz w:val="24"/>
          <w:szCs w:val="24"/>
        </w:rPr>
      </w:pPr>
      <w:r w:rsidRPr="00BC6D09">
        <w:rPr>
          <w:rFonts w:eastAsia="Helvetica"/>
          <w:color w:val="000000" w:themeColor="text1"/>
          <w:sz w:val="24"/>
          <w:szCs w:val="24"/>
        </w:rPr>
        <w:lastRenderedPageBreak/>
        <w:t>Додаток 4</w:t>
      </w:r>
    </w:p>
    <w:p w:rsidR="00311945" w:rsidRPr="00BC6D09" w:rsidRDefault="00EB2AD5" w:rsidP="00EB2AD5">
      <w:pPr>
        <w:pStyle w:val="a7"/>
        <w:spacing w:after="0"/>
        <w:ind w:left="5387"/>
        <w:jc w:val="both"/>
        <w:rPr>
          <w:color w:val="000000" w:themeColor="text1"/>
          <w:sz w:val="24"/>
          <w:szCs w:val="24"/>
        </w:rPr>
      </w:pPr>
      <w:r w:rsidRPr="00BC6D09">
        <w:rPr>
          <w:rFonts w:eastAsia="Helvetica"/>
          <w:color w:val="000000" w:themeColor="text1"/>
          <w:sz w:val="24"/>
          <w:szCs w:val="24"/>
        </w:rPr>
        <w:t>до Методики проведення аналізу впливу регуляторного акта</w:t>
      </w:r>
    </w:p>
    <w:p w:rsidR="00311945" w:rsidRPr="00BC6D09" w:rsidRDefault="00311945" w:rsidP="00EB2AD5">
      <w:pPr>
        <w:pStyle w:val="a6"/>
        <w:shd w:val="clear" w:color="auto" w:fill="FFFFFF"/>
        <w:spacing w:before="0" w:after="0" w:line="240" w:lineRule="auto"/>
        <w:ind w:left="5387"/>
        <w:jc w:val="center"/>
        <w:rPr>
          <w:rFonts w:eastAsia="Helvetica"/>
          <w:color w:val="000000" w:themeColor="text1"/>
        </w:rPr>
      </w:pPr>
    </w:p>
    <w:p w:rsidR="00631B18" w:rsidRPr="00BC6D09" w:rsidRDefault="00631B18" w:rsidP="00EB2AD5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</w:p>
    <w:p w:rsidR="00631B18" w:rsidRPr="00BC6D09" w:rsidRDefault="00631B18" w:rsidP="00EB2AD5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</w:p>
    <w:p w:rsidR="00EB2AD5" w:rsidRPr="00BC6D09" w:rsidRDefault="00311945" w:rsidP="00EB2AD5">
      <w:pPr>
        <w:pStyle w:val="a6"/>
        <w:shd w:val="clear" w:color="auto" w:fill="FFFFFF"/>
        <w:spacing w:before="0" w:after="0" w:line="240" w:lineRule="auto"/>
        <w:jc w:val="center"/>
        <w:rPr>
          <w:rStyle w:val="a5"/>
          <w:rFonts w:eastAsia="Helvetica"/>
          <w:color w:val="000000" w:themeColor="text1"/>
          <w:shd w:val="clear" w:color="auto" w:fill="FFFFFF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ТЕСТ</w:t>
      </w:r>
    </w:p>
    <w:p w:rsidR="00311945" w:rsidRPr="00BC6D09" w:rsidRDefault="00311945" w:rsidP="00EB2AD5">
      <w:pPr>
        <w:pStyle w:val="a6"/>
        <w:shd w:val="clear" w:color="auto" w:fill="FFFFFF"/>
        <w:spacing w:before="0" w:after="0" w:line="240" w:lineRule="auto"/>
        <w:jc w:val="center"/>
        <w:rPr>
          <w:rFonts w:eastAsia="Helvetica"/>
          <w:color w:val="000000" w:themeColor="text1"/>
        </w:rPr>
      </w:pPr>
      <w:r w:rsidRPr="00BC6D09">
        <w:rPr>
          <w:rStyle w:val="a5"/>
          <w:rFonts w:eastAsia="Helvetica"/>
          <w:color w:val="000000" w:themeColor="text1"/>
          <w:shd w:val="clear" w:color="auto" w:fill="FFFFFF"/>
        </w:rPr>
        <w:t>малого підприємництва (М-Тест)</w:t>
      </w:r>
    </w:p>
    <w:p w:rsidR="00EB2AD5" w:rsidRDefault="00EB2AD5" w:rsidP="00EB2AD5">
      <w:pPr>
        <w:pStyle w:val="a6"/>
        <w:shd w:val="clear" w:color="auto" w:fill="FFFFFF"/>
        <w:spacing w:before="0" w:after="0" w:line="240" w:lineRule="auto"/>
        <w:jc w:val="both"/>
        <w:rPr>
          <w:rFonts w:eastAsia="Helvetica"/>
          <w:color w:val="000000" w:themeColor="text1"/>
          <w:shd w:val="clear" w:color="auto" w:fill="FFFFFF"/>
        </w:rPr>
      </w:pPr>
    </w:p>
    <w:p w:rsidR="00E43B87" w:rsidRPr="00166CAA" w:rsidRDefault="00E43B87" w:rsidP="00E43B87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1.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Консультації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щодо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визначення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впливу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запропонованого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регулювання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малого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підприємництва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визначення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детального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переліку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процедур,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виконання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яких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необхідно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для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здійснення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регулювання,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проведено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розробником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період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18</w:t>
      </w:r>
      <w:r w:rsidRPr="00166CAA">
        <w:rPr>
          <w:rFonts w:eastAsia="Times New Roman"/>
          <w:color w:val="000000" w:themeColor="text1"/>
          <w:sz w:val="24"/>
          <w:szCs w:val="24"/>
        </w:rPr>
        <w:t>.0</w:t>
      </w:r>
      <w:r>
        <w:rPr>
          <w:rFonts w:eastAsia="Times New Roman"/>
          <w:color w:val="000000" w:themeColor="text1"/>
          <w:sz w:val="24"/>
          <w:szCs w:val="24"/>
        </w:rPr>
        <w:t>3</w:t>
      </w:r>
      <w:r w:rsidRPr="00166CAA">
        <w:rPr>
          <w:rFonts w:eastAsia="Times New Roman"/>
          <w:color w:val="000000" w:themeColor="text1"/>
          <w:sz w:val="24"/>
          <w:szCs w:val="24"/>
        </w:rPr>
        <w:t>.202</w:t>
      </w:r>
      <w:r>
        <w:rPr>
          <w:rFonts w:eastAsia="Times New Roman"/>
          <w:color w:val="000000" w:themeColor="text1"/>
          <w:sz w:val="24"/>
          <w:szCs w:val="24"/>
        </w:rPr>
        <w:t xml:space="preserve">1 </w:t>
      </w:r>
      <w:r w:rsidRPr="00166CAA">
        <w:rPr>
          <w:rFonts w:eastAsia="Times New Roman"/>
          <w:color w:val="000000" w:themeColor="text1"/>
          <w:sz w:val="24"/>
          <w:szCs w:val="24"/>
        </w:rPr>
        <w:t>р.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</w:t>
      </w:r>
      <w:r>
        <w:rPr>
          <w:rFonts w:eastAsia="Times New Roman"/>
          <w:color w:val="000000" w:themeColor="text1"/>
          <w:sz w:val="24"/>
          <w:szCs w:val="24"/>
        </w:rPr>
        <w:t xml:space="preserve"> 18</w:t>
      </w:r>
      <w:r w:rsidRPr="00166CAA">
        <w:rPr>
          <w:rFonts w:eastAsia="Times New Roman"/>
          <w:color w:val="000000" w:themeColor="text1"/>
          <w:sz w:val="24"/>
          <w:szCs w:val="24"/>
        </w:rPr>
        <w:t>.0</w:t>
      </w:r>
      <w:r>
        <w:rPr>
          <w:rFonts w:eastAsia="Times New Roman"/>
          <w:color w:val="000000" w:themeColor="text1"/>
          <w:sz w:val="24"/>
          <w:szCs w:val="24"/>
        </w:rPr>
        <w:t>4</w:t>
      </w:r>
      <w:r w:rsidRPr="00166CAA">
        <w:rPr>
          <w:rFonts w:eastAsia="Times New Roman"/>
          <w:color w:val="000000" w:themeColor="text1"/>
          <w:sz w:val="24"/>
          <w:szCs w:val="24"/>
        </w:rPr>
        <w:t>.202</w:t>
      </w:r>
      <w:r>
        <w:rPr>
          <w:rFonts w:eastAsia="Times New Roman"/>
          <w:color w:val="000000" w:themeColor="text1"/>
          <w:sz w:val="24"/>
          <w:szCs w:val="24"/>
        </w:rPr>
        <w:t xml:space="preserve">1 </w:t>
      </w:r>
      <w:r w:rsidRPr="00166CAA">
        <w:rPr>
          <w:rFonts w:eastAsia="Times New Roman"/>
          <w:color w:val="000000" w:themeColor="text1"/>
          <w:sz w:val="24"/>
          <w:szCs w:val="24"/>
        </w:rPr>
        <w:t>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4"/>
        <w:gridCol w:w="4129"/>
        <w:gridCol w:w="2054"/>
        <w:gridCol w:w="2017"/>
      </w:tblGrid>
      <w:tr w:rsidR="00E43B87" w:rsidRPr="00166CAA" w:rsidTr="00E43B87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Порядковий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консультації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(публічні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консультації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прямі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(круглі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столи,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наради,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робочі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зустрічі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тощо),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інтернет-консультації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прямі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(інтернет-форуми,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соціальні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мережі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тощо),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запити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(до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підприємців,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експертів,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науковців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тощо)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учасників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консультацій,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осіб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Основні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результати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консультацій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(опис)</w:t>
            </w:r>
          </w:p>
        </w:tc>
      </w:tr>
      <w:tr w:rsidR="00E43B87" w:rsidRPr="00166CAA" w:rsidTr="00E43B87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B87" w:rsidRPr="00BC6D09" w:rsidRDefault="00E43B87" w:rsidP="00F80ADF">
            <w:pPr>
              <w:pStyle w:val="a6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BC6D09">
              <w:rPr>
                <w:rFonts w:eastAsia="Helvetica"/>
                <w:color w:val="000000" w:themeColor="text1"/>
              </w:rPr>
              <w:t>Телефонні розмови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інформації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пропозицій</w:t>
            </w:r>
          </w:p>
        </w:tc>
      </w:tr>
    </w:tbl>
    <w:p w:rsidR="00E43B87" w:rsidRDefault="00E43B87" w:rsidP="00E43B87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E43B87" w:rsidRPr="00BC6D09" w:rsidRDefault="00E43B87" w:rsidP="00E43B87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</w:rPr>
      </w:pPr>
      <w:r w:rsidRPr="00BC6D09">
        <w:rPr>
          <w:rFonts w:eastAsia="Helvetica"/>
          <w:color w:val="000000" w:themeColor="text1"/>
          <w:shd w:val="clear" w:color="auto" w:fill="FFFFFF"/>
        </w:rPr>
        <w:t>2. Вимірювання впливу регулювання на суб'єктів малого підприємництва (мікро- та малі):</w:t>
      </w:r>
    </w:p>
    <w:p w:rsidR="00E43B87" w:rsidRPr="00E43B87" w:rsidRDefault="00E43B87" w:rsidP="00E43B87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  <w:r w:rsidRPr="00E43B87">
        <w:rPr>
          <w:rFonts w:eastAsia="Helvetica"/>
          <w:color w:val="000000" w:themeColor="text1"/>
          <w:shd w:val="clear" w:color="auto" w:fill="FFFFFF"/>
        </w:rPr>
        <w:t xml:space="preserve">кількість суб’єктів малого підприємництва, на яких поширюється регулювання: 1 (од.), у тому числі малого підприємництва 1 (одиниць) та </w:t>
      </w:r>
      <w:proofErr w:type="spellStart"/>
      <w:r w:rsidRPr="00E43B87">
        <w:rPr>
          <w:rFonts w:eastAsia="Helvetica"/>
          <w:color w:val="000000" w:themeColor="text1"/>
          <w:shd w:val="clear" w:color="auto" w:fill="FFFFFF"/>
        </w:rPr>
        <w:t>мікропідприємництва</w:t>
      </w:r>
      <w:proofErr w:type="spellEnd"/>
      <w:r w:rsidRPr="00E43B87">
        <w:rPr>
          <w:rFonts w:eastAsia="Helvetica"/>
          <w:color w:val="000000" w:themeColor="text1"/>
          <w:shd w:val="clear" w:color="auto" w:fill="FFFFFF"/>
        </w:rPr>
        <w:t xml:space="preserve"> 0 (одиниці);</w:t>
      </w:r>
    </w:p>
    <w:p w:rsidR="00E43B87" w:rsidRPr="00E43B87" w:rsidRDefault="00E43B87" w:rsidP="00E43B87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  <w:r w:rsidRPr="00E43B87">
        <w:rPr>
          <w:rFonts w:eastAsia="Helvetica"/>
          <w:color w:val="000000" w:themeColor="text1"/>
          <w:shd w:val="clear" w:color="auto" w:fill="FFFFFF"/>
        </w:rPr>
        <w:t>питома вага суб’єктів малого підприємництва у загальній кількості суб’єктів господарювання, на яких проблема справляє вплив 100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E43B87" w:rsidRPr="00166CAA" w:rsidRDefault="00E43B87" w:rsidP="00E43B87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*так,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як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об’єктивно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визначити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кількість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малого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підприємництва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на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яких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проблема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справляє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вплив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не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маємо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можливості,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беремо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для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розрахунку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загальну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кількість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фізичних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та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юридичних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осіб,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на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яких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поширюється</w:t>
      </w:r>
      <w:r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i/>
          <w:iCs/>
          <w:color w:val="000000" w:themeColor="text1"/>
          <w:sz w:val="24"/>
          <w:szCs w:val="24"/>
        </w:rPr>
        <w:t>регулювання.</w:t>
      </w:r>
    </w:p>
    <w:p w:rsidR="00E43B87" w:rsidRPr="00166CAA" w:rsidRDefault="00E43B87" w:rsidP="00E43B87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E43B87" w:rsidRPr="00E43B87" w:rsidRDefault="00E43B87" w:rsidP="00E43B87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  <w:r>
        <w:rPr>
          <w:rFonts w:eastAsia="Helvetica"/>
          <w:color w:val="000000" w:themeColor="text1"/>
          <w:shd w:val="clear" w:color="auto" w:fill="FFFFFF"/>
        </w:rPr>
        <w:t xml:space="preserve">3. </w:t>
      </w:r>
      <w:r w:rsidRPr="00E43B87">
        <w:rPr>
          <w:rFonts w:eastAsia="Helvetica"/>
          <w:color w:val="000000" w:themeColor="text1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064"/>
        <w:gridCol w:w="1514"/>
        <w:gridCol w:w="1206"/>
      </w:tblGrid>
      <w:tr w:rsidR="00E43B87" w:rsidRPr="00166CAA" w:rsidTr="00E43B87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E43B87" w:rsidRPr="00E43B87" w:rsidRDefault="00E43B87" w:rsidP="00E43B8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43B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Порядковий номер</w:t>
            </w:r>
          </w:p>
        </w:tc>
        <w:tc>
          <w:tcPr>
            <w:tcW w:w="4253" w:type="dxa"/>
            <w:vAlign w:val="center"/>
            <w:hideMark/>
          </w:tcPr>
          <w:p w:rsidR="00E43B87" w:rsidRPr="00E43B87" w:rsidRDefault="00E43B87" w:rsidP="00E43B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43B8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Найменування оцінки</w:t>
            </w:r>
          </w:p>
        </w:tc>
        <w:tc>
          <w:tcPr>
            <w:tcW w:w="2064" w:type="dxa"/>
            <w:vAlign w:val="center"/>
            <w:hideMark/>
          </w:tcPr>
          <w:p w:rsidR="00E43B87" w:rsidRPr="00E43B87" w:rsidRDefault="00E43B87" w:rsidP="00E43B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43B8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У перший рік (стартовий рік впровадження регулювання)</w:t>
            </w:r>
          </w:p>
        </w:tc>
        <w:tc>
          <w:tcPr>
            <w:tcW w:w="1514" w:type="dxa"/>
            <w:vAlign w:val="center"/>
            <w:hideMark/>
          </w:tcPr>
          <w:p w:rsidR="00E43B87" w:rsidRPr="00E43B87" w:rsidRDefault="00E43B87" w:rsidP="00E43B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43B8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Періодичні (за наступний рік)</w:t>
            </w:r>
          </w:p>
        </w:tc>
        <w:tc>
          <w:tcPr>
            <w:tcW w:w="1206" w:type="dxa"/>
            <w:vAlign w:val="center"/>
            <w:hideMark/>
          </w:tcPr>
          <w:p w:rsidR="00E43B87" w:rsidRPr="00E43B87" w:rsidRDefault="00E43B87" w:rsidP="00E43B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43B8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Витрати за п’ять років</w:t>
            </w:r>
          </w:p>
        </w:tc>
      </w:tr>
      <w:tr w:rsidR="00E43B87" w:rsidRPr="00166CAA" w:rsidTr="00E43B87">
        <w:trPr>
          <w:trHeight w:val="20"/>
        </w:trPr>
        <w:tc>
          <w:tcPr>
            <w:tcW w:w="9854" w:type="dxa"/>
            <w:gridSpan w:val="5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Оцінка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“прямих”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Придбання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необхідного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обладнання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(пристроїв,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машин,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механізмів)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повірки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та/або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постановки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відповідний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облік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визначеному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державної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влади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чи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місцевого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самоврядування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експлуатації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обладнання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(експлуатаційні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матеріали)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обслуговування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обладнання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(технічне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обслуговування)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Інші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(уточнити)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(сплата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податку)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</w:t>
            </w:r>
            <w:r w:rsidR="00E43B87"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Разом,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гривень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(сума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рядків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</w:t>
            </w:r>
            <w:r w:rsidR="00E43B87"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господарювання,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повинні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одиниць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Сумарно,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гривень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</w:t>
            </w:r>
            <w:r w:rsidR="00E43B87"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E43B87" w:rsidRPr="00166CAA" w:rsidTr="00E43B87">
        <w:trPr>
          <w:trHeight w:val="20"/>
        </w:trPr>
        <w:tc>
          <w:tcPr>
            <w:tcW w:w="9854" w:type="dxa"/>
            <w:gridSpan w:val="5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6660C">
              <w:rPr>
                <w:rFonts w:eastAsia="Times New Roman"/>
                <w:i/>
                <w:iCs/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 та звітування Розрахунок вартості 1 людино-години:Для розрахунку витрат використовується мінімальний розмір заробітної плати відповідно до ст. 8 Закону України «Про Державний бюджет України на 2021 рік» - мінімальна заробітна плата у 2021 році – 6000,00 грн, у погодинному розмірі – 36,11 грн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первинної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інформації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інформації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регулювання,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необхідних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заявок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вартість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(заробітна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плата)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оціночна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1г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*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36,11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=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36,11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грн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36,11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180,55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організації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розроблення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впровадження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внутрішніх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впровадження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вимог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вартість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(заробітна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плата)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оціночна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внутрішніх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процедур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2г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*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36,11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=</w:t>
            </w:r>
            <w:r w:rsidR="00B6660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72,22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грн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72,22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361</w:t>
            </w:r>
            <w:r w:rsidR="00E43B87"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,10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офіційного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звітування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інформації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порядок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звітування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регулювання,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отримання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необхідних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визначення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органу,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приймає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місця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звітності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заповнення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передачу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(окремо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засобами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передачі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інформації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оцінкою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кількості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суб’єктів,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користуються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формами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засобів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окремо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електронна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звітність,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до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органу,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поштовим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зв’язком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тощо)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оцінка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корегування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(оцінка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природного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рівня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помилок))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вартість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(заробітна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плата)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оціночна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оригінальних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періодів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звітності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забезпечення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процесу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перевірок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забезпечення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процесу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перевірок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боку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контролюючих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органів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вартість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часу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(заробітна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плата)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оціночна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перевірок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за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Інші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(уточнити)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E43B87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Разом,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гривень</w:t>
            </w:r>
          </w:p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</w:p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(сума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рядків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11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13)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108,33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108,33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541,65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підприємництва,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повинні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вимоги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одиниць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3B87" w:rsidRPr="00166CAA" w:rsidTr="00E43B87">
        <w:trPr>
          <w:trHeight w:val="20"/>
        </w:trPr>
        <w:tc>
          <w:tcPr>
            <w:tcW w:w="817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hideMark/>
          </w:tcPr>
          <w:p w:rsidR="00E43B87" w:rsidRPr="00166CAA" w:rsidRDefault="00E43B87" w:rsidP="00E43B8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Сумарно,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гривень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Формула: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відповідний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стовпчик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“разом”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підприємництва,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що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повинні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виконати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вимоги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(рядок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рядок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108,33</w:t>
            </w:r>
          </w:p>
        </w:tc>
        <w:tc>
          <w:tcPr>
            <w:tcW w:w="1514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108,33</w:t>
            </w:r>
          </w:p>
        </w:tc>
        <w:tc>
          <w:tcPr>
            <w:tcW w:w="1206" w:type="dxa"/>
            <w:vAlign w:val="center"/>
            <w:hideMark/>
          </w:tcPr>
          <w:p w:rsidR="00E43B87" w:rsidRPr="00166CAA" w:rsidRDefault="00B6660C" w:rsidP="00E43B8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541,65</w:t>
            </w:r>
          </w:p>
        </w:tc>
      </w:tr>
    </w:tbl>
    <w:p w:rsidR="00E43B87" w:rsidRPr="00166CAA" w:rsidRDefault="00E43B87" w:rsidP="00B6660C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E43B87" w:rsidRPr="00166CAA" w:rsidRDefault="00E43B87" w:rsidP="00B6660C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Бюджетні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витрати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на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адміністрування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регулювання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малого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b/>
          <w:bCs/>
          <w:color w:val="000000" w:themeColor="text1"/>
          <w:sz w:val="24"/>
          <w:szCs w:val="24"/>
        </w:rPr>
        <w:t>підприємництва</w:t>
      </w:r>
    </w:p>
    <w:p w:rsidR="00E43B87" w:rsidRPr="00166CAA" w:rsidRDefault="00E43B87" w:rsidP="00B6660C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166CAA">
        <w:rPr>
          <w:rFonts w:eastAsia="Times New Roman"/>
          <w:color w:val="000000" w:themeColor="text1"/>
          <w:sz w:val="24"/>
          <w:szCs w:val="24"/>
        </w:rPr>
        <w:t>Бюджетні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витрати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адміністрування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регулювання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суб’єктів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малого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підприємництва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підлягають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розрахунку,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оскільки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встановлені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нормами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Податкового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кодексу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України.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Органи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самоврядування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наділені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повноваженням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лише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встановлювати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ставки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місцевих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податків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(зборів),</w:t>
      </w:r>
      <w:r w:rsidR="00B6660C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змінюючи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порядок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їх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обчислення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інші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адміністративні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процедури.</w:t>
      </w:r>
    </w:p>
    <w:p w:rsidR="00B6660C" w:rsidRDefault="00B6660C" w:rsidP="00B6660C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</w:p>
    <w:p w:rsidR="00E43B87" w:rsidRPr="00B6660C" w:rsidRDefault="00B6660C" w:rsidP="00B6660C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  <w:r>
        <w:rPr>
          <w:rFonts w:eastAsia="Helvetica"/>
          <w:color w:val="000000" w:themeColor="text1"/>
          <w:shd w:val="clear" w:color="auto" w:fill="FFFFFF"/>
        </w:rPr>
        <w:t xml:space="preserve">4. </w:t>
      </w:r>
      <w:r w:rsidR="00E43B87" w:rsidRPr="00B6660C">
        <w:rPr>
          <w:rFonts w:eastAsia="Helvetica"/>
          <w:color w:val="000000" w:themeColor="text1"/>
          <w:shd w:val="clear" w:color="auto" w:fill="FFFFFF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6"/>
        <w:gridCol w:w="4707"/>
        <w:gridCol w:w="2311"/>
        <w:gridCol w:w="1090"/>
      </w:tblGrid>
      <w:tr w:rsidR="00E43B87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Порядковий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Показник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Перший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рік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(стартовий)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За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п’ять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років</w:t>
            </w:r>
          </w:p>
        </w:tc>
      </w:tr>
      <w:tr w:rsidR="00E43B87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Оцінка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“прямих”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підприємництва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B6660C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B6660C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50</w:t>
            </w:r>
            <w:r w:rsidR="00E43B87" w:rsidRPr="00166CAA">
              <w:rPr>
                <w:rFonts w:eastAsia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54A56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C54A56" w:rsidRPr="00166CAA" w:rsidRDefault="00C54A56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B6660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Оцінка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вартості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адміністративних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процедур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щодо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звітування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F80AD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108,33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F80AD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541,65</w:t>
            </w:r>
          </w:p>
        </w:tc>
      </w:tr>
      <w:tr w:rsidR="00E43B87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Сумарні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підприємництва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запланованого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C54A56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118,33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C54A56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591,65</w:t>
            </w:r>
          </w:p>
        </w:tc>
      </w:tr>
      <w:tr w:rsidR="00E43B87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Бюджетні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адміністрування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суб’єктів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малого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підприємництва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43B87" w:rsidRPr="00166CAA" w:rsidRDefault="00E43B87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54A56" w:rsidRPr="00166CAA" w:rsidTr="00B6660C">
        <w:trPr>
          <w:trHeight w:val="20"/>
        </w:trPr>
        <w:tc>
          <w:tcPr>
            <w:tcW w:w="0" w:type="auto"/>
            <w:vAlign w:val="center"/>
            <w:hideMark/>
          </w:tcPr>
          <w:p w:rsidR="00C54A56" w:rsidRPr="00166CAA" w:rsidRDefault="00C54A56" w:rsidP="00B6660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B6660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Сумарні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витрати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виконання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запланованого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166CAA">
              <w:rPr>
                <w:rFonts w:eastAsia="Times New Roman"/>
                <w:color w:val="000000" w:themeColor="text1"/>
                <w:sz w:val="24"/>
                <w:szCs w:val="24"/>
              </w:rPr>
              <w:t>регулювання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F80AD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118,33</w:t>
            </w:r>
          </w:p>
        </w:tc>
        <w:tc>
          <w:tcPr>
            <w:tcW w:w="0" w:type="auto"/>
            <w:vAlign w:val="center"/>
            <w:hideMark/>
          </w:tcPr>
          <w:p w:rsidR="00C54A56" w:rsidRPr="00166CAA" w:rsidRDefault="00C54A56" w:rsidP="00F80AD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591,65</w:t>
            </w:r>
          </w:p>
        </w:tc>
      </w:tr>
    </w:tbl>
    <w:p w:rsidR="00E43B87" w:rsidRPr="00B6660C" w:rsidRDefault="00E43B87" w:rsidP="00B6660C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</w:p>
    <w:p w:rsidR="00A61E8C" w:rsidRPr="00B6660C" w:rsidRDefault="00A61E8C" w:rsidP="00B6660C">
      <w:pPr>
        <w:pStyle w:val="a6"/>
        <w:shd w:val="clear" w:color="auto" w:fill="FFFFFF"/>
        <w:spacing w:before="0" w:after="0" w:line="240" w:lineRule="auto"/>
        <w:ind w:firstLine="709"/>
        <w:jc w:val="both"/>
        <w:rPr>
          <w:rFonts w:eastAsia="Helvetica"/>
          <w:color w:val="000000" w:themeColor="text1"/>
          <w:shd w:val="clear" w:color="auto" w:fill="FFFFFF"/>
        </w:rPr>
      </w:pPr>
      <w:r w:rsidRPr="00B6660C">
        <w:rPr>
          <w:rFonts w:eastAsia="Helvetica"/>
          <w:color w:val="000000" w:themeColor="text1"/>
          <w:shd w:val="clear" w:color="auto" w:fill="FFFFFF"/>
        </w:rPr>
        <w:t>5. Розроблення коригуючих (пом’якшувальних) заходів для малого підприємництва щодо запропонованого</w:t>
      </w:r>
      <w:r w:rsidR="00D94BD1" w:rsidRPr="00B6660C">
        <w:rPr>
          <w:rFonts w:eastAsia="Helvetica"/>
          <w:color w:val="000000" w:themeColor="text1"/>
          <w:shd w:val="clear" w:color="auto" w:fill="FFFFFF"/>
        </w:rPr>
        <w:t xml:space="preserve"> </w:t>
      </w:r>
      <w:r w:rsidRPr="00B6660C">
        <w:rPr>
          <w:rFonts w:eastAsia="Helvetica"/>
          <w:color w:val="000000" w:themeColor="text1"/>
          <w:shd w:val="clear" w:color="auto" w:fill="FFFFFF"/>
        </w:rPr>
        <w:t>регулювання</w:t>
      </w:r>
    </w:p>
    <w:p w:rsidR="00A61E8C" w:rsidRPr="00BC6D09" w:rsidRDefault="00A61E8C" w:rsidP="00D30CA9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BC6D09">
        <w:rPr>
          <w:rFonts w:eastAsia="Times New Roman"/>
          <w:color w:val="000000" w:themeColor="text1"/>
          <w:sz w:val="24"/>
          <w:szCs w:val="24"/>
        </w:rPr>
        <w:t>Податковим кодексом України визначаються об’єкт, база</w:t>
      </w:r>
      <w:r w:rsidR="00D94BD1" w:rsidRPr="00BC6D0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C6D09">
        <w:rPr>
          <w:rFonts w:eastAsia="Times New Roman"/>
          <w:color w:val="000000" w:themeColor="text1"/>
          <w:sz w:val="24"/>
          <w:szCs w:val="24"/>
        </w:rPr>
        <w:t>оподаткування, податковий період, порядки обчислення суми податку, строк, порядок сплати податку та інші його обов’язкові елементи й повноваження органів місцевого самоврядування щодо його встановлення.</w:t>
      </w:r>
    </w:p>
    <w:p w:rsidR="00B6660C" w:rsidRDefault="00B6660C" w:rsidP="00B6660C">
      <w:pPr>
        <w:pStyle w:val="a7"/>
        <w:spacing w:after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Pr="00166CAA">
        <w:rPr>
          <w:rFonts w:eastAsia="Times New Roman"/>
          <w:color w:val="000000" w:themeColor="text1"/>
          <w:sz w:val="24"/>
          <w:szCs w:val="24"/>
        </w:rPr>
        <w:t>латниками</w:t>
      </w:r>
      <w:r>
        <w:rPr>
          <w:rFonts w:eastAsia="Times New Roman"/>
          <w:color w:val="000000" w:themeColor="text1"/>
          <w:sz w:val="24"/>
          <w:szCs w:val="24"/>
        </w:rPr>
        <w:t xml:space="preserve"> туристичного </w:t>
      </w:r>
      <w:r w:rsidRPr="00166CAA">
        <w:rPr>
          <w:rFonts w:eastAsia="Times New Roman"/>
          <w:color w:val="000000" w:themeColor="text1"/>
          <w:sz w:val="24"/>
          <w:szCs w:val="24"/>
        </w:rPr>
        <w:t>збору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є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громадяни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України,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іноземці,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також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особи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без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громадянства,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які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прибувають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територію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адміністративно-територіальної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одиниці,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на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якій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діє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рішення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міської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ради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встановлення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туристичного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збору,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та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отримують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(споживають)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послуги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тимчасового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проживання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(ночівлі)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із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зобов’язанням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залишити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місце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перебування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в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66CAA">
        <w:rPr>
          <w:rFonts w:eastAsia="Times New Roman"/>
          <w:color w:val="000000" w:themeColor="text1"/>
          <w:sz w:val="24"/>
          <w:szCs w:val="24"/>
        </w:rPr>
        <w:t>зазначений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7DC7">
        <w:rPr>
          <w:rFonts w:eastAsia="Times New Roman"/>
          <w:color w:val="000000" w:themeColor="text1"/>
          <w:sz w:val="24"/>
          <w:szCs w:val="24"/>
        </w:rPr>
        <w:t xml:space="preserve">строк, тому </w:t>
      </w:r>
      <w:r w:rsidR="00527DC7">
        <w:rPr>
          <w:rFonts w:eastAsia="Helvetica"/>
          <w:color w:val="000000" w:themeColor="text1"/>
          <w:sz w:val="24"/>
          <w:szCs w:val="24"/>
          <w:shd w:val="clear" w:color="auto" w:fill="FFFFFF"/>
        </w:rPr>
        <w:t>р</w:t>
      </w:r>
      <w:r w:rsidR="00527DC7" w:rsidRPr="00B6660C">
        <w:rPr>
          <w:rFonts w:eastAsia="Helvetica"/>
          <w:color w:val="000000" w:themeColor="text1"/>
          <w:sz w:val="24"/>
          <w:szCs w:val="24"/>
          <w:shd w:val="clear" w:color="auto" w:fill="FFFFFF"/>
        </w:rPr>
        <w:t>озроблення коригуючих (пом’якшувальних) заходів для малого підприємництва щодо запропонованого регулювання</w:t>
      </w:r>
      <w:r w:rsidR="00527DC7">
        <w:rPr>
          <w:rFonts w:eastAsia="Helvetica"/>
          <w:color w:val="000000" w:themeColor="text1"/>
          <w:sz w:val="24"/>
          <w:szCs w:val="24"/>
          <w:shd w:val="clear" w:color="auto" w:fill="FFFFFF"/>
        </w:rPr>
        <w:t xml:space="preserve"> не потребує.</w:t>
      </w:r>
    </w:p>
    <w:p w:rsidR="00A61E8C" w:rsidRPr="00BC6D09" w:rsidRDefault="00A61E8C" w:rsidP="00EB2AD5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311945" w:rsidRPr="00BC6D09" w:rsidRDefault="00311945" w:rsidP="00EB2AD5">
      <w:pPr>
        <w:pStyle w:val="a6"/>
        <w:shd w:val="clear" w:color="auto" w:fill="FFFFFF"/>
        <w:spacing w:before="0" w:after="0" w:line="240" w:lineRule="auto"/>
        <w:jc w:val="both"/>
        <w:rPr>
          <w:rFonts w:eastAsia="Helvetica"/>
          <w:color w:val="000000" w:themeColor="text1"/>
          <w:shd w:val="clear" w:color="auto" w:fill="FFFFFF"/>
        </w:rPr>
      </w:pPr>
    </w:p>
    <w:p w:rsidR="00A61E8C" w:rsidRPr="00BC6D09" w:rsidRDefault="00A61E8C" w:rsidP="00EB2AD5">
      <w:pPr>
        <w:pStyle w:val="a6"/>
        <w:shd w:val="clear" w:color="auto" w:fill="FFFFFF"/>
        <w:spacing w:before="0" w:after="0" w:line="240" w:lineRule="auto"/>
        <w:jc w:val="both"/>
        <w:rPr>
          <w:rFonts w:eastAsia="Helvetica"/>
          <w:color w:val="000000" w:themeColor="text1"/>
        </w:rPr>
      </w:pPr>
    </w:p>
    <w:p w:rsidR="003E284D" w:rsidRPr="00BC6D09" w:rsidRDefault="003E284D" w:rsidP="00EB2AD5">
      <w:pPr>
        <w:pStyle w:val="a6"/>
        <w:shd w:val="clear" w:color="auto" w:fill="FFFFFF"/>
        <w:spacing w:before="0" w:after="0" w:line="240" w:lineRule="auto"/>
        <w:jc w:val="both"/>
        <w:rPr>
          <w:rFonts w:eastAsia="Helvetica"/>
          <w:color w:val="000000" w:themeColor="text1"/>
        </w:rPr>
      </w:pPr>
    </w:p>
    <w:p w:rsidR="003E284D" w:rsidRPr="00BC6D09" w:rsidRDefault="0091220E" w:rsidP="003E284D">
      <w:pPr>
        <w:pStyle w:val="a7"/>
        <w:tabs>
          <w:tab w:val="left" w:pos="7371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BC6D09">
        <w:rPr>
          <w:b/>
          <w:color w:val="000000" w:themeColor="text1"/>
          <w:sz w:val="24"/>
          <w:szCs w:val="24"/>
        </w:rPr>
        <w:t xml:space="preserve">Перший заступник </w:t>
      </w:r>
    </w:p>
    <w:p w:rsidR="003E284D" w:rsidRPr="00BC6D09" w:rsidRDefault="003E284D" w:rsidP="003E284D">
      <w:pPr>
        <w:pStyle w:val="a7"/>
        <w:tabs>
          <w:tab w:val="left" w:pos="7371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BC6D09">
        <w:rPr>
          <w:b/>
          <w:color w:val="000000" w:themeColor="text1"/>
          <w:sz w:val="24"/>
          <w:szCs w:val="24"/>
        </w:rPr>
        <w:t>керівника військово-цивільної адміністрації</w:t>
      </w:r>
    </w:p>
    <w:p w:rsidR="003E284D" w:rsidRPr="00BC6D09" w:rsidRDefault="003E284D" w:rsidP="003E284D">
      <w:pPr>
        <w:pStyle w:val="a7"/>
        <w:tabs>
          <w:tab w:val="left" w:pos="7371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BC6D09">
        <w:rPr>
          <w:b/>
          <w:color w:val="000000" w:themeColor="text1"/>
          <w:sz w:val="24"/>
          <w:szCs w:val="24"/>
        </w:rPr>
        <w:t>м. Лисичанська</w:t>
      </w:r>
      <w:r w:rsidRPr="00BC6D09">
        <w:rPr>
          <w:b/>
          <w:color w:val="000000" w:themeColor="text1"/>
          <w:sz w:val="24"/>
          <w:szCs w:val="24"/>
        </w:rPr>
        <w:tab/>
        <w:t>Ольга ВЕНГЕР</w:t>
      </w:r>
    </w:p>
    <w:p w:rsidR="003E284D" w:rsidRPr="00BC6D09" w:rsidRDefault="003E284D" w:rsidP="00EB2AD5">
      <w:pPr>
        <w:pStyle w:val="a7"/>
        <w:spacing w:after="0"/>
        <w:jc w:val="both"/>
        <w:rPr>
          <w:color w:val="000000" w:themeColor="text1"/>
          <w:sz w:val="24"/>
          <w:szCs w:val="24"/>
        </w:rPr>
      </w:pPr>
    </w:p>
    <w:p w:rsidR="003E284D" w:rsidRPr="00BC6D09" w:rsidRDefault="003E284D" w:rsidP="00EB2AD5">
      <w:pPr>
        <w:pStyle w:val="a7"/>
        <w:spacing w:after="0"/>
        <w:jc w:val="both"/>
        <w:rPr>
          <w:b/>
          <w:color w:val="000000" w:themeColor="text1"/>
          <w:sz w:val="24"/>
          <w:szCs w:val="24"/>
        </w:rPr>
      </w:pPr>
    </w:p>
    <w:p w:rsidR="003E284D" w:rsidRPr="00BC6D09" w:rsidRDefault="003E284D" w:rsidP="00EB2AD5">
      <w:pPr>
        <w:pStyle w:val="a7"/>
        <w:spacing w:after="0"/>
        <w:jc w:val="both"/>
        <w:rPr>
          <w:b/>
          <w:color w:val="000000" w:themeColor="text1"/>
          <w:sz w:val="24"/>
          <w:szCs w:val="24"/>
        </w:rPr>
      </w:pPr>
    </w:p>
    <w:p w:rsidR="003E284D" w:rsidRPr="00BC6D09" w:rsidRDefault="003E284D" w:rsidP="003E284D">
      <w:pPr>
        <w:pStyle w:val="a7"/>
        <w:tabs>
          <w:tab w:val="left" w:pos="6663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BC6D09">
        <w:rPr>
          <w:b/>
          <w:color w:val="000000" w:themeColor="text1"/>
          <w:sz w:val="24"/>
          <w:szCs w:val="24"/>
        </w:rPr>
        <w:t>Начальник відділу економіки</w:t>
      </w:r>
      <w:r w:rsidRPr="00BC6D09">
        <w:rPr>
          <w:b/>
          <w:color w:val="000000" w:themeColor="text1"/>
          <w:sz w:val="24"/>
          <w:szCs w:val="24"/>
        </w:rPr>
        <w:tab/>
        <w:t>Олександр МОРДАСОВ</w:t>
      </w:r>
    </w:p>
    <w:p w:rsidR="00311945" w:rsidRPr="00BC6D09" w:rsidRDefault="00311945" w:rsidP="00EB2AD5">
      <w:pPr>
        <w:jc w:val="both"/>
        <w:rPr>
          <w:b/>
          <w:color w:val="000000" w:themeColor="text1"/>
          <w:sz w:val="24"/>
          <w:szCs w:val="24"/>
        </w:rPr>
      </w:pPr>
    </w:p>
    <w:sectPr w:rsidR="00311945" w:rsidRPr="00BC6D09" w:rsidSect="00D94BD1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7E" w:rsidRDefault="00F83E7E" w:rsidP="002D678B">
      <w:r>
        <w:separator/>
      </w:r>
    </w:p>
  </w:endnote>
  <w:endnote w:type="continuationSeparator" w:id="0">
    <w:p w:rsidR="00F83E7E" w:rsidRDefault="00F83E7E" w:rsidP="002D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7E" w:rsidRDefault="00F83E7E" w:rsidP="002D678B">
      <w:r>
        <w:separator/>
      </w:r>
    </w:p>
  </w:footnote>
  <w:footnote w:type="continuationSeparator" w:id="0">
    <w:p w:rsidR="00F83E7E" w:rsidRDefault="00F83E7E" w:rsidP="002D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40"/>
    <w:multiLevelType w:val="multilevel"/>
    <w:tmpl w:val="E18A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05ACD"/>
    <w:multiLevelType w:val="multilevel"/>
    <w:tmpl w:val="682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87084"/>
    <w:multiLevelType w:val="multilevel"/>
    <w:tmpl w:val="9B68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F"/>
    <w:rsid w:val="0000222F"/>
    <w:rsid w:val="000033A2"/>
    <w:rsid w:val="0001182C"/>
    <w:rsid w:val="00012334"/>
    <w:rsid w:val="00036CC2"/>
    <w:rsid w:val="00054C90"/>
    <w:rsid w:val="0008348C"/>
    <w:rsid w:val="000A299E"/>
    <w:rsid w:val="000C27DF"/>
    <w:rsid w:val="000E07F0"/>
    <w:rsid w:val="000E1866"/>
    <w:rsid w:val="000E7A93"/>
    <w:rsid w:val="000F7012"/>
    <w:rsid w:val="00120AF7"/>
    <w:rsid w:val="0013376A"/>
    <w:rsid w:val="001353E8"/>
    <w:rsid w:val="00153B1D"/>
    <w:rsid w:val="00162530"/>
    <w:rsid w:val="00170F0D"/>
    <w:rsid w:val="00175837"/>
    <w:rsid w:val="001760FE"/>
    <w:rsid w:val="00180AF3"/>
    <w:rsid w:val="00190469"/>
    <w:rsid w:val="001B2DEA"/>
    <w:rsid w:val="001C6DA9"/>
    <w:rsid w:val="001E7251"/>
    <w:rsid w:val="001F16DA"/>
    <w:rsid w:val="001F7B40"/>
    <w:rsid w:val="00203256"/>
    <w:rsid w:val="00205A2A"/>
    <w:rsid w:val="00210CA7"/>
    <w:rsid w:val="00213AA8"/>
    <w:rsid w:val="0022698E"/>
    <w:rsid w:val="00227D67"/>
    <w:rsid w:val="00233695"/>
    <w:rsid w:val="0023557C"/>
    <w:rsid w:val="002446B9"/>
    <w:rsid w:val="00245109"/>
    <w:rsid w:val="00247EDD"/>
    <w:rsid w:val="00250F8A"/>
    <w:rsid w:val="00253A95"/>
    <w:rsid w:val="002834AD"/>
    <w:rsid w:val="00293798"/>
    <w:rsid w:val="002A776F"/>
    <w:rsid w:val="002B0D5D"/>
    <w:rsid w:val="002B197D"/>
    <w:rsid w:val="002B2018"/>
    <w:rsid w:val="002C1213"/>
    <w:rsid w:val="002D678B"/>
    <w:rsid w:val="002D7F70"/>
    <w:rsid w:val="002E087F"/>
    <w:rsid w:val="0030068E"/>
    <w:rsid w:val="003070A8"/>
    <w:rsid w:val="00311945"/>
    <w:rsid w:val="00313C46"/>
    <w:rsid w:val="00320FEE"/>
    <w:rsid w:val="00335EEB"/>
    <w:rsid w:val="003413CB"/>
    <w:rsid w:val="0034302D"/>
    <w:rsid w:val="00346CDF"/>
    <w:rsid w:val="003513FA"/>
    <w:rsid w:val="00376FE8"/>
    <w:rsid w:val="003801A8"/>
    <w:rsid w:val="00381727"/>
    <w:rsid w:val="003932F4"/>
    <w:rsid w:val="003A38A0"/>
    <w:rsid w:val="003B7F9F"/>
    <w:rsid w:val="003E284D"/>
    <w:rsid w:val="003E3FAF"/>
    <w:rsid w:val="003E4449"/>
    <w:rsid w:val="003F4578"/>
    <w:rsid w:val="00406423"/>
    <w:rsid w:val="00414101"/>
    <w:rsid w:val="00433D29"/>
    <w:rsid w:val="004378AD"/>
    <w:rsid w:val="0045112D"/>
    <w:rsid w:val="004652E3"/>
    <w:rsid w:val="00470495"/>
    <w:rsid w:val="00487A1E"/>
    <w:rsid w:val="00491F79"/>
    <w:rsid w:val="004A579B"/>
    <w:rsid w:val="004B2A10"/>
    <w:rsid w:val="004C0E5E"/>
    <w:rsid w:val="004D43F4"/>
    <w:rsid w:val="004E6589"/>
    <w:rsid w:val="004F0663"/>
    <w:rsid w:val="004F4130"/>
    <w:rsid w:val="00523330"/>
    <w:rsid w:val="00527DC7"/>
    <w:rsid w:val="0055299A"/>
    <w:rsid w:val="005B618C"/>
    <w:rsid w:val="005D031D"/>
    <w:rsid w:val="005D4792"/>
    <w:rsid w:val="005E7370"/>
    <w:rsid w:val="005F1250"/>
    <w:rsid w:val="00611C6F"/>
    <w:rsid w:val="006142B4"/>
    <w:rsid w:val="00615FC0"/>
    <w:rsid w:val="00621F72"/>
    <w:rsid w:val="0062518C"/>
    <w:rsid w:val="00631B18"/>
    <w:rsid w:val="00641FD9"/>
    <w:rsid w:val="0066754E"/>
    <w:rsid w:val="00672765"/>
    <w:rsid w:val="0067516C"/>
    <w:rsid w:val="006B04A2"/>
    <w:rsid w:val="006F198C"/>
    <w:rsid w:val="0072190F"/>
    <w:rsid w:val="00732C15"/>
    <w:rsid w:val="00732F42"/>
    <w:rsid w:val="00755CAB"/>
    <w:rsid w:val="00764832"/>
    <w:rsid w:val="00782405"/>
    <w:rsid w:val="00786967"/>
    <w:rsid w:val="00796C4B"/>
    <w:rsid w:val="00797E43"/>
    <w:rsid w:val="007C4475"/>
    <w:rsid w:val="007D53C6"/>
    <w:rsid w:val="008125E0"/>
    <w:rsid w:val="00816F69"/>
    <w:rsid w:val="00822C0A"/>
    <w:rsid w:val="0082300E"/>
    <w:rsid w:val="0082637A"/>
    <w:rsid w:val="00835C47"/>
    <w:rsid w:val="008757D0"/>
    <w:rsid w:val="00897B32"/>
    <w:rsid w:val="008A03EF"/>
    <w:rsid w:val="008B168E"/>
    <w:rsid w:val="008B54B1"/>
    <w:rsid w:val="008D26F3"/>
    <w:rsid w:val="008D3EE8"/>
    <w:rsid w:val="008D4BF5"/>
    <w:rsid w:val="008D640A"/>
    <w:rsid w:val="0091220E"/>
    <w:rsid w:val="00921D09"/>
    <w:rsid w:val="00937119"/>
    <w:rsid w:val="00937866"/>
    <w:rsid w:val="00944266"/>
    <w:rsid w:val="00945308"/>
    <w:rsid w:val="00946027"/>
    <w:rsid w:val="00947EC4"/>
    <w:rsid w:val="00985D47"/>
    <w:rsid w:val="00994035"/>
    <w:rsid w:val="0099631A"/>
    <w:rsid w:val="009A01E5"/>
    <w:rsid w:val="009A638F"/>
    <w:rsid w:val="009C26A0"/>
    <w:rsid w:val="009C298F"/>
    <w:rsid w:val="009C4242"/>
    <w:rsid w:val="009C66A0"/>
    <w:rsid w:val="009C7A44"/>
    <w:rsid w:val="009D4625"/>
    <w:rsid w:val="009E6AB6"/>
    <w:rsid w:val="00A0179A"/>
    <w:rsid w:val="00A22F56"/>
    <w:rsid w:val="00A257CD"/>
    <w:rsid w:val="00A2683F"/>
    <w:rsid w:val="00A30E01"/>
    <w:rsid w:val="00A37DD4"/>
    <w:rsid w:val="00A4191E"/>
    <w:rsid w:val="00A53AF2"/>
    <w:rsid w:val="00A61E8C"/>
    <w:rsid w:val="00A7605A"/>
    <w:rsid w:val="00A854E0"/>
    <w:rsid w:val="00AA4EAF"/>
    <w:rsid w:val="00AB31CE"/>
    <w:rsid w:val="00AC12AC"/>
    <w:rsid w:val="00AD7801"/>
    <w:rsid w:val="00AF7668"/>
    <w:rsid w:val="00B06E87"/>
    <w:rsid w:val="00B15D67"/>
    <w:rsid w:val="00B16DA2"/>
    <w:rsid w:val="00B24431"/>
    <w:rsid w:val="00B43C27"/>
    <w:rsid w:val="00B6660C"/>
    <w:rsid w:val="00B70F80"/>
    <w:rsid w:val="00B90FAB"/>
    <w:rsid w:val="00B95EF4"/>
    <w:rsid w:val="00BA5DE7"/>
    <w:rsid w:val="00BB05BF"/>
    <w:rsid w:val="00BC2218"/>
    <w:rsid w:val="00BC6D09"/>
    <w:rsid w:val="00BE7B94"/>
    <w:rsid w:val="00C117F9"/>
    <w:rsid w:val="00C32207"/>
    <w:rsid w:val="00C40673"/>
    <w:rsid w:val="00C45D24"/>
    <w:rsid w:val="00C54A56"/>
    <w:rsid w:val="00C62E11"/>
    <w:rsid w:val="00C65F02"/>
    <w:rsid w:val="00C67250"/>
    <w:rsid w:val="00C72EF2"/>
    <w:rsid w:val="00C74FD6"/>
    <w:rsid w:val="00C77483"/>
    <w:rsid w:val="00C9607C"/>
    <w:rsid w:val="00C96D21"/>
    <w:rsid w:val="00CA00B0"/>
    <w:rsid w:val="00CC399E"/>
    <w:rsid w:val="00CD2142"/>
    <w:rsid w:val="00CD7D09"/>
    <w:rsid w:val="00CE7C37"/>
    <w:rsid w:val="00D10138"/>
    <w:rsid w:val="00D1433B"/>
    <w:rsid w:val="00D229AD"/>
    <w:rsid w:val="00D2422B"/>
    <w:rsid w:val="00D30CA9"/>
    <w:rsid w:val="00D3376A"/>
    <w:rsid w:val="00D4156E"/>
    <w:rsid w:val="00D75EBA"/>
    <w:rsid w:val="00D94BD1"/>
    <w:rsid w:val="00DB334B"/>
    <w:rsid w:val="00DD59F7"/>
    <w:rsid w:val="00DF5B40"/>
    <w:rsid w:val="00DF748B"/>
    <w:rsid w:val="00E005D3"/>
    <w:rsid w:val="00E079D4"/>
    <w:rsid w:val="00E16DC8"/>
    <w:rsid w:val="00E21583"/>
    <w:rsid w:val="00E43B87"/>
    <w:rsid w:val="00E445F4"/>
    <w:rsid w:val="00E54CAF"/>
    <w:rsid w:val="00E55DDF"/>
    <w:rsid w:val="00E6692A"/>
    <w:rsid w:val="00E84FB7"/>
    <w:rsid w:val="00EA7FC7"/>
    <w:rsid w:val="00EB2AD5"/>
    <w:rsid w:val="00EE0B7B"/>
    <w:rsid w:val="00EE1E7B"/>
    <w:rsid w:val="00EF6F81"/>
    <w:rsid w:val="00EF7BC1"/>
    <w:rsid w:val="00F165F8"/>
    <w:rsid w:val="00F2268F"/>
    <w:rsid w:val="00F236AA"/>
    <w:rsid w:val="00F37C8A"/>
    <w:rsid w:val="00F4065F"/>
    <w:rsid w:val="00F42F15"/>
    <w:rsid w:val="00F6505C"/>
    <w:rsid w:val="00F740EE"/>
    <w:rsid w:val="00F752EC"/>
    <w:rsid w:val="00F8230F"/>
    <w:rsid w:val="00F83E7E"/>
    <w:rsid w:val="00F8714D"/>
    <w:rsid w:val="00FA216D"/>
    <w:rsid w:val="00FB5DC1"/>
    <w:rsid w:val="00FE72CF"/>
    <w:rsid w:val="08474085"/>
    <w:rsid w:val="09A25B40"/>
    <w:rsid w:val="16F1538D"/>
    <w:rsid w:val="18CD3F72"/>
    <w:rsid w:val="1BFE5658"/>
    <w:rsid w:val="203B0388"/>
    <w:rsid w:val="2D8F0117"/>
    <w:rsid w:val="4EFD2BA4"/>
    <w:rsid w:val="508E06E1"/>
    <w:rsid w:val="73B222DE"/>
    <w:rsid w:val="76C40A91"/>
    <w:rsid w:val="77B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ind w:left="720" w:hanging="11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80"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basedOn w:val="a"/>
    <w:pPr>
      <w:suppressAutoHyphens/>
      <w:spacing w:before="28" w:after="28" w:line="100" w:lineRule="atLeast"/>
    </w:pPr>
    <w:rPr>
      <w:sz w:val="24"/>
      <w:szCs w:val="24"/>
      <w:lang w:eastAsia="ru-RU"/>
    </w:rPr>
  </w:style>
  <w:style w:type="paragraph" w:styleId="a7">
    <w:name w:val="Body Text"/>
    <w:basedOn w:val="a"/>
    <w:pPr>
      <w:spacing w:after="12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ru-RU" w:eastAsia="ru-RU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D678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2D678B"/>
    <w:rPr>
      <w:sz w:val="28"/>
      <w:szCs w:val="28"/>
    </w:rPr>
  </w:style>
  <w:style w:type="paragraph" w:styleId="ad">
    <w:name w:val="footer"/>
    <w:basedOn w:val="a"/>
    <w:link w:val="ae"/>
    <w:rsid w:val="002D678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2D678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ind w:left="720" w:hanging="11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80"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basedOn w:val="a"/>
    <w:pPr>
      <w:suppressAutoHyphens/>
      <w:spacing w:before="28" w:after="28" w:line="100" w:lineRule="atLeast"/>
    </w:pPr>
    <w:rPr>
      <w:sz w:val="24"/>
      <w:szCs w:val="24"/>
      <w:lang w:eastAsia="ru-RU"/>
    </w:rPr>
  </w:style>
  <w:style w:type="paragraph" w:styleId="a7">
    <w:name w:val="Body Text"/>
    <w:basedOn w:val="a"/>
    <w:pPr>
      <w:spacing w:after="12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ru-RU" w:eastAsia="ru-RU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D678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2D678B"/>
    <w:rPr>
      <w:sz w:val="28"/>
      <w:szCs w:val="28"/>
    </w:rPr>
  </w:style>
  <w:style w:type="paragraph" w:styleId="ad">
    <w:name w:val="footer"/>
    <w:basedOn w:val="a"/>
    <w:link w:val="ae"/>
    <w:rsid w:val="002D678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2D678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2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канцелярії</vt:lpstr>
    </vt:vector>
  </TitlesOfParts>
  <Company>Міська Рада</Company>
  <LinksUpToDate>false</LinksUpToDate>
  <CharactersWithSpaces>19238</CharactersWithSpaces>
  <SharedDoc>false</SharedDoc>
  <HLinks>
    <vt:vector size="6" baseType="variant"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http://dubrmrada.rv.ua/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канцелярії</dc:title>
  <dc:creator>user</dc:creator>
  <cp:lastModifiedBy>Компик</cp:lastModifiedBy>
  <cp:revision>9</cp:revision>
  <cp:lastPrinted>2020-05-20T10:09:00Z</cp:lastPrinted>
  <dcterms:created xsi:type="dcterms:W3CDTF">2021-03-18T08:57:00Z</dcterms:created>
  <dcterms:modified xsi:type="dcterms:W3CDTF">2021-03-18T11:38:00Z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